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24789" w14:textId="3C7B9CC9" w:rsidR="007903B8" w:rsidRPr="00C21FE4" w:rsidRDefault="007903B8" w:rsidP="003A1ED7">
      <w:pPr>
        <w:spacing w:before="120" w:after="240"/>
        <w:ind w:right="1835"/>
        <w:rPr>
          <w:b/>
          <w:sz w:val="24"/>
          <w:lang w:val="en-GB"/>
        </w:rPr>
      </w:pPr>
      <w:r w:rsidRPr="00C21FE4">
        <w:rPr>
          <w:b/>
          <w:sz w:val="28"/>
          <w:lang w:val="en-GB"/>
        </w:rPr>
        <w:t>Innovation+</w:t>
      </w:r>
      <w:r w:rsidR="007B5B3A">
        <w:rPr>
          <w:b/>
          <w:sz w:val="28"/>
          <w:lang w:val="en-GB"/>
        </w:rPr>
        <w:t>: TGW</w:t>
      </w:r>
      <w:r w:rsidR="00AA7145">
        <w:rPr>
          <w:b/>
          <w:sz w:val="28"/>
          <w:lang w:val="en-GB"/>
        </w:rPr>
        <w:t>’s Formula for Enhanced Customer Value Delivers Video Communication-Based Support Services, Robotic Handling</w:t>
      </w:r>
    </w:p>
    <w:p w14:paraId="121F389A" w14:textId="5C99BDE4" w:rsidR="007903B8" w:rsidRPr="00C21FE4" w:rsidRDefault="007B5B3A" w:rsidP="003A1ED7">
      <w:pPr>
        <w:spacing w:before="120" w:after="240"/>
        <w:ind w:right="1835"/>
        <w:rPr>
          <w:i/>
          <w:lang w:val="en-GB"/>
        </w:rPr>
      </w:pPr>
      <w:r>
        <w:rPr>
          <w:i/>
          <w:lang w:val="en-GB"/>
        </w:rPr>
        <w:t xml:space="preserve">Although TGW places high priority on developing new </w:t>
      </w:r>
      <w:r w:rsidR="00AA7145">
        <w:rPr>
          <w:i/>
          <w:lang w:val="en-GB"/>
        </w:rPr>
        <w:t>technologies</w:t>
      </w:r>
      <w:r>
        <w:rPr>
          <w:i/>
          <w:lang w:val="en-GB"/>
        </w:rPr>
        <w:t xml:space="preserve"> for logistics and material handling innovation, not every </w:t>
      </w:r>
      <w:r w:rsidR="00AA7145">
        <w:rPr>
          <w:i/>
          <w:lang w:val="en-GB"/>
        </w:rPr>
        <w:t>technology</w:t>
      </w:r>
      <w:r>
        <w:rPr>
          <w:i/>
          <w:lang w:val="en-GB"/>
        </w:rPr>
        <w:t xml:space="preserve"> delivers the greatest benefit to customers. Using the </w:t>
      </w:r>
      <w:r w:rsidR="007903B8" w:rsidRPr="00C21FE4">
        <w:rPr>
          <w:i/>
          <w:lang w:val="en-GB"/>
        </w:rPr>
        <w:t xml:space="preserve">Innovation+ </w:t>
      </w:r>
      <w:r>
        <w:rPr>
          <w:i/>
          <w:lang w:val="en-GB"/>
        </w:rPr>
        <w:t>methodology, TGW creates customer value and ensures their operational success</w:t>
      </w:r>
      <w:r w:rsidR="007903B8" w:rsidRPr="00C21FE4">
        <w:rPr>
          <w:i/>
          <w:lang w:val="en-GB"/>
        </w:rPr>
        <w:t>.</w:t>
      </w:r>
    </w:p>
    <w:p w14:paraId="52CB19A7" w14:textId="2FE7BB7C" w:rsidR="007903B8" w:rsidRPr="00C21FE4" w:rsidRDefault="00605A4E" w:rsidP="003A1ED7">
      <w:pPr>
        <w:spacing w:before="120" w:after="240"/>
        <w:ind w:right="1835"/>
        <w:rPr>
          <w:lang w:val="en-GB"/>
        </w:rPr>
      </w:pPr>
      <w:r>
        <w:rPr>
          <w:lang w:val="en-GB"/>
        </w:rPr>
        <w:t xml:space="preserve">According to </w:t>
      </w:r>
      <w:r w:rsidRPr="00C21FE4">
        <w:rPr>
          <w:lang w:val="en-GB"/>
        </w:rPr>
        <w:t xml:space="preserve">Markus Winkler, </w:t>
      </w:r>
      <w:r>
        <w:rPr>
          <w:lang w:val="en-GB"/>
        </w:rPr>
        <w:t>Head of Advanced Technology Development</w:t>
      </w:r>
      <w:r w:rsidRPr="00C21FE4">
        <w:rPr>
          <w:lang w:val="en-GB"/>
        </w:rPr>
        <w:t xml:space="preserve"> at TGW Logistics Group</w:t>
      </w:r>
      <w:r>
        <w:rPr>
          <w:lang w:val="en-GB"/>
        </w:rPr>
        <w:t>, when e</w:t>
      </w:r>
      <w:r w:rsidR="007903B8" w:rsidRPr="00C21FE4">
        <w:rPr>
          <w:lang w:val="en-GB"/>
        </w:rPr>
        <w:t>xpressed as a formula, Innovation+ look</w:t>
      </w:r>
      <w:r w:rsidR="007B5B3A">
        <w:rPr>
          <w:lang w:val="en-GB"/>
        </w:rPr>
        <w:t>s</w:t>
      </w:r>
      <w:r w:rsidR="007903B8" w:rsidRPr="00C21FE4">
        <w:rPr>
          <w:lang w:val="en-GB"/>
        </w:rPr>
        <w:t xml:space="preserve"> like </w:t>
      </w:r>
      <w:r w:rsidR="007B5B3A">
        <w:rPr>
          <w:lang w:val="en-GB"/>
        </w:rPr>
        <w:t>this</w:t>
      </w:r>
      <w:r w:rsidR="007903B8" w:rsidRPr="00C21FE4">
        <w:rPr>
          <w:lang w:val="en-GB"/>
        </w:rPr>
        <w:t>:</w:t>
      </w:r>
    </w:p>
    <w:p w14:paraId="54A3EDDD" w14:textId="54B58FBF" w:rsidR="007903B8" w:rsidRPr="00662B4E" w:rsidRDefault="007903B8" w:rsidP="00605A4E">
      <w:pPr>
        <w:spacing w:before="120" w:after="240"/>
        <w:ind w:right="1835"/>
        <w:jc w:val="center"/>
        <w:rPr>
          <w:i/>
          <w:lang w:val="en-GB"/>
        </w:rPr>
      </w:pPr>
      <w:bookmarkStart w:id="0" w:name="_GoBack"/>
      <w:r w:rsidRPr="00C21FE4">
        <w:rPr>
          <w:i/>
          <w:lang w:val="en-GB"/>
        </w:rPr>
        <w:t xml:space="preserve">Innovation + </w:t>
      </w:r>
      <w:r>
        <w:rPr>
          <w:i/>
          <w:lang w:val="en-GB"/>
        </w:rPr>
        <w:t xml:space="preserve">added </w:t>
      </w:r>
      <w:r w:rsidR="007B5B3A">
        <w:rPr>
          <w:i/>
          <w:lang w:val="en-GB"/>
        </w:rPr>
        <w:t xml:space="preserve">customer </w:t>
      </w:r>
      <w:r>
        <w:rPr>
          <w:i/>
          <w:lang w:val="en-GB"/>
        </w:rPr>
        <w:t xml:space="preserve">value = </w:t>
      </w:r>
      <w:r w:rsidR="00605A4E">
        <w:rPr>
          <w:i/>
          <w:lang w:val="en-GB"/>
        </w:rPr>
        <w:br/>
      </w:r>
      <w:r w:rsidR="007B5B3A">
        <w:rPr>
          <w:i/>
          <w:lang w:val="en-GB"/>
        </w:rPr>
        <w:t>high quality solutions,</w:t>
      </w:r>
      <w:r>
        <w:rPr>
          <w:i/>
          <w:lang w:val="en-GB"/>
        </w:rPr>
        <w:t xml:space="preserve"> long-term relationships and sustainable </w:t>
      </w:r>
      <w:r w:rsidR="007B5B3A">
        <w:rPr>
          <w:i/>
          <w:lang w:val="en-GB"/>
        </w:rPr>
        <w:t xml:space="preserve">customer </w:t>
      </w:r>
      <w:r>
        <w:rPr>
          <w:i/>
          <w:lang w:val="en-GB"/>
        </w:rPr>
        <w:t>success</w:t>
      </w:r>
    </w:p>
    <w:bookmarkEnd w:id="0"/>
    <w:p w14:paraId="1F4A1D22" w14:textId="77777777" w:rsidR="00605A4E" w:rsidRDefault="00605A4E" w:rsidP="003A1ED7">
      <w:pPr>
        <w:spacing w:before="120" w:after="240"/>
        <w:ind w:right="1835"/>
        <w:rPr>
          <w:lang w:val="en-GB"/>
        </w:rPr>
      </w:pPr>
      <w:r>
        <w:rPr>
          <w:lang w:val="en-GB"/>
        </w:rPr>
        <w:t>“</w:t>
      </w:r>
      <w:r w:rsidR="00AA7145">
        <w:rPr>
          <w:lang w:val="en-GB"/>
        </w:rPr>
        <w:t>TGW’s customers trust that the company’s innovative solutions will deliver the maxi</w:t>
      </w:r>
      <w:r>
        <w:rPr>
          <w:lang w:val="en-GB"/>
        </w:rPr>
        <w:t>mum value for their operations,” he explains. “</w:t>
      </w:r>
      <w:r w:rsidR="00AA7145">
        <w:rPr>
          <w:lang w:val="en-GB"/>
        </w:rPr>
        <w:t>That’s why every</w:t>
      </w:r>
      <w:r>
        <w:rPr>
          <w:lang w:val="en-GB"/>
        </w:rPr>
        <w:t xml:space="preserve"> one of our</w:t>
      </w:r>
      <w:r w:rsidR="00AA7145">
        <w:rPr>
          <w:lang w:val="en-GB"/>
        </w:rPr>
        <w:t xml:space="preserve"> automated storage and handling solution</w:t>
      </w:r>
      <w:r>
        <w:rPr>
          <w:lang w:val="en-GB"/>
        </w:rPr>
        <w:t>s</w:t>
      </w:r>
      <w:r w:rsidR="00AA7145">
        <w:rPr>
          <w:lang w:val="en-GB"/>
        </w:rPr>
        <w:t xml:space="preserve"> is engineered to meet each customer’s specific requirements, and new technologies are carefully evaluated before implementation into a new project or service offering.</w:t>
      </w:r>
      <w:r>
        <w:rPr>
          <w:lang w:val="en-GB"/>
        </w:rPr>
        <w:t>”</w:t>
      </w:r>
    </w:p>
    <w:p w14:paraId="74E5241E" w14:textId="002B5D05" w:rsidR="003A1ED7" w:rsidRDefault="00AA7145" w:rsidP="003A1ED7">
      <w:pPr>
        <w:spacing w:before="120" w:after="240"/>
        <w:ind w:right="1835"/>
        <w:rPr>
          <w:lang w:val="en-GB"/>
        </w:rPr>
      </w:pPr>
      <w:r>
        <w:rPr>
          <w:lang w:val="en-GB"/>
        </w:rPr>
        <w:t xml:space="preserve">Two recent examples include the application of </w:t>
      </w:r>
      <w:r w:rsidR="00774870">
        <w:rPr>
          <w:lang w:val="en-GB"/>
        </w:rPr>
        <w:t>augmented reality s</w:t>
      </w:r>
      <w:r>
        <w:rPr>
          <w:lang w:val="en-GB"/>
        </w:rPr>
        <w:t xml:space="preserve">mart </w:t>
      </w:r>
      <w:r w:rsidR="00774870">
        <w:rPr>
          <w:lang w:val="en-GB"/>
        </w:rPr>
        <w:t>g</w:t>
      </w:r>
      <w:r>
        <w:rPr>
          <w:lang w:val="en-GB"/>
        </w:rPr>
        <w:t xml:space="preserve">lasses that connect </w:t>
      </w:r>
      <w:r w:rsidR="00274C13">
        <w:rPr>
          <w:lang w:val="en-GB"/>
        </w:rPr>
        <w:t xml:space="preserve">technicians on-site at a facility </w:t>
      </w:r>
      <w:r>
        <w:rPr>
          <w:lang w:val="en-GB"/>
        </w:rPr>
        <w:t xml:space="preserve">with headquarter-based engineers for troubleshooting, and robotic picking equipment. </w:t>
      </w:r>
    </w:p>
    <w:p w14:paraId="1CC11919" w14:textId="1E60A82D" w:rsidR="007903B8" w:rsidRPr="00C21FE4" w:rsidRDefault="007903B8" w:rsidP="003A1ED7">
      <w:pPr>
        <w:spacing w:before="120" w:after="240"/>
        <w:ind w:right="1835"/>
        <w:rPr>
          <w:lang w:val="en-GB"/>
        </w:rPr>
      </w:pPr>
      <w:r w:rsidRPr="00C21FE4">
        <w:rPr>
          <w:lang w:val="en-GB"/>
        </w:rPr>
        <w:t>"TGW stand</w:t>
      </w:r>
      <w:r w:rsidR="00AA7145">
        <w:rPr>
          <w:lang w:val="en-GB"/>
        </w:rPr>
        <w:t>s</w:t>
      </w:r>
      <w:r w:rsidRPr="00C21FE4">
        <w:rPr>
          <w:lang w:val="en-GB"/>
        </w:rPr>
        <w:t xml:space="preserve"> for solid, high-qual</w:t>
      </w:r>
      <w:r>
        <w:rPr>
          <w:lang w:val="en-GB"/>
        </w:rPr>
        <w:t xml:space="preserve">ity logistics solutions and </w:t>
      </w:r>
      <w:r w:rsidRPr="00C21FE4">
        <w:rPr>
          <w:lang w:val="en-GB"/>
        </w:rPr>
        <w:t>support</w:t>
      </w:r>
      <w:r>
        <w:rPr>
          <w:lang w:val="en-GB"/>
        </w:rPr>
        <w:t>ing</w:t>
      </w:r>
      <w:r w:rsidRPr="00C21FE4">
        <w:rPr>
          <w:lang w:val="en-GB"/>
        </w:rPr>
        <w:t xml:space="preserve"> our customers</w:t>
      </w:r>
      <w:r>
        <w:rPr>
          <w:lang w:val="en-GB"/>
        </w:rPr>
        <w:t xml:space="preserve"> throughout a lifetime</w:t>
      </w:r>
      <w:r w:rsidRPr="00C21FE4">
        <w:rPr>
          <w:lang w:val="en-GB"/>
        </w:rPr>
        <w:t xml:space="preserve">. We earn the trust of our customers </w:t>
      </w:r>
      <w:r w:rsidR="00605A4E">
        <w:rPr>
          <w:lang w:val="en-GB"/>
        </w:rPr>
        <w:t>through</w:t>
      </w:r>
      <w:r w:rsidRPr="00C21FE4">
        <w:rPr>
          <w:lang w:val="en-GB"/>
        </w:rPr>
        <w:t xml:space="preserve"> our daily effort</w:t>
      </w:r>
      <w:r w:rsidR="00AA7145">
        <w:rPr>
          <w:lang w:val="en-GB"/>
        </w:rPr>
        <w:t>s to ensure technological innovations make the most sense for their operations, rather than applying new technologies because they’re getting a lot of hype</w:t>
      </w:r>
      <w:r w:rsidRPr="00C21FE4">
        <w:rPr>
          <w:lang w:val="en-GB"/>
        </w:rPr>
        <w:t xml:space="preserve">," </w:t>
      </w:r>
      <w:r w:rsidR="00605A4E">
        <w:rPr>
          <w:lang w:val="en-GB"/>
        </w:rPr>
        <w:t>adds Winkler.</w:t>
      </w:r>
      <w:r w:rsidRPr="00C21FE4">
        <w:rPr>
          <w:lang w:val="en-GB"/>
        </w:rPr>
        <w:t xml:space="preserve"> </w:t>
      </w:r>
    </w:p>
    <w:p w14:paraId="36ECA275" w14:textId="3C54BE68" w:rsidR="007903B8" w:rsidRPr="00C21FE4" w:rsidRDefault="00274C13" w:rsidP="003A1ED7">
      <w:pPr>
        <w:spacing w:before="120" w:after="240"/>
        <w:ind w:right="1835"/>
        <w:rPr>
          <w:b/>
          <w:lang w:val="en-GB"/>
        </w:rPr>
      </w:pPr>
      <w:r>
        <w:rPr>
          <w:b/>
          <w:lang w:val="en-GB"/>
        </w:rPr>
        <w:t xml:space="preserve">Innovation+: </w:t>
      </w:r>
      <w:r w:rsidR="007903B8" w:rsidRPr="00C21FE4">
        <w:rPr>
          <w:b/>
          <w:lang w:val="en-GB"/>
        </w:rPr>
        <w:t xml:space="preserve">Augmented reality </w:t>
      </w:r>
      <w:r w:rsidR="00EF7368">
        <w:rPr>
          <w:b/>
          <w:lang w:val="en-GB"/>
        </w:rPr>
        <w:t xml:space="preserve">smart glasses speed </w:t>
      </w:r>
      <w:r>
        <w:rPr>
          <w:b/>
          <w:lang w:val="en-GB"/>
        </w:rPr>
        <w:t xml:space="preserve">troubleshooting, minimize equipment downtime </w:t>
      </w:r>
    </w:p>
    <w:p w14:paraId="1F40E96C" w14:textId="7D2096AB" w:rsidR="00274C13" w:rsidRDefault="00274C13" w:rsidP="003A1ED7">
      <w:pPr>
        <w:spacing w:before="120" w:after="240"/>
        <w:ind w:right="1835"/>
        <w:rPr>
          <w:lang w:val="en-GB"/>
        </w:rPr>
      </w:pPr>
      <w:r>
        <w:rPr>
          <w:lang w:val="en-GB"/>
        </w:rPr>
        <w:t>In 2016, T</w:t>
      </w:r>
      <w:r w:rsidR="007903B8" w:rsidRPr="00C21FE4">
        <w:rPr>
          <w:lang w:val="en-GB"/>
        </w:rPr>
        <w:t xml:space="preserve">GW </w:t>
      </w:r>
      <w:r>
        <w:rPr>
          <w:lang w:val="en-GB"/>
        </w:rPr>
        <w:t xml:space="preserve">added augmented reality smart glasses to its package of Lifetime Services (LTS) for </w:t>
      </w:r>
      <w:r w:rsidR="00605A4E">
        <w:rPr>
          <w:lang w:val="en-GB"/>
        </w:rPr>
        <w:t xml:space="preserve">faster </w:t>
      </w:r>
      <w:r>
        <w:rPr>
          <w:lang w:val="en-GB"/>
        </w:rPr>
        <w:t xml:space="preserve">routine maintenance, troubleshooting and support. </w:t>
      </w:r>
    </w:p>
    <w:p w14:paraId="0B6264C1" w14:textId="566F30AF" w:rsidR="00274C13" w:rsidRDefault="007903B8" w:rsidP="003A1ED7">
      <w:pPr>
        <w:spacing w:before="120" w:after="240"/>
        <w:ind w:right="1835"/>
        <w:rPr>
          <w:lang w:val="en-GB"/>
        </w:rPr>
      </w:pPr>
      <w:r w:rsidRPr="00C21FE4">
        <w:rPr>
          <w:lang w:val="en-GB"/>
        </w:rPr>
        <w:t>"We use the smart glasses as 'hands-free' tool</w:t>
      </w:r>
      <w:r>
        <w:rPr>
          <w:lang w:val="en-GB"/>
        </w:rPr>
        <w:t>s</w:t>
      </w:r>
      <w:r w:rsidRPr="00C21FE4">
        <w:rPr>
          <w:lang w:val="en-GB"/>
        </w:rPr>
        <w:t xml:space="preserve"> </w:t>
      </w:r>
      <w:r w:rsidR="00274C13">
        <w:rPr>
          <w:lang w:val="en-GB"/>
        </w:rPr>
        <w:t>to support</w:t>
      </w:r>
      <w:r w:rsidRPr="00C21FE4">
        <w:rPr>
          <w:lang w:val="en-GB"/>
        </w:rPr>
        <w:t xml:space="preserve"> video communication between our hotline experts </w:t>
      </w:r>
      <w:r w:rsidR="00274C13">
        <w:rPr>
          <w:lang w:val="en-GB"/>
        </w:rPr>
        <w:t>at</w:t>
      </w:r>
      <w:r w:rsidRPr="00C21FE4">
        <w:rPr>
          <w:lang w:val="en-GB"/>
        </w:rPr>
        <w:t xml:space="preserve"> headquarter</w:t>
      </w:r>
      <w:r w:rsidR="00274C13">
        <w:rPr>
          <w:lang w:val="en-GB"/>
        </w:rPr>
        <w:t>s</w:t>
      </w:r>
      <w:r w:rsidRPr="00C21FE4">
        <w:rPr>
          <w:lang w:val="en-GB"/>
        </w:rPr>
        <w:t xml:space="preserve"> and </w:t>
      </w:r>
      <w:r w:rsidR="00274C13">
        <w:rPr>
          <w:lang w:val="en-GB"/>
        </w:rPr>
        <w:t xml:space="preserve">either </w:t>
      </w:r>
      <w:r w:rsidRPr="00C21FE4">
        <w:rPr>
          <w:lang w:val="en-GB"/>
        </w:rPr>
        <w:t>TGW service technicians or the customer's employees on</w:t>
      </w:r>
      <w:r w:rsidR="00274C13">
        <w:rPr>
          <w:lang w:val="en-GB"/>
        </w:rPr>
        <w:t xml:space="preserve">-site,” explains </w:t>
      </w:r>
      <w:proofErr w:type="spellStart"/>
      <w:r w:rsidR="00274C13" w:rsidRPr="00C21FE4">
        <w:rPr>
          <w:lang w:val="en-GB"/>
        </w:rPr>
        <w:t>Christoph</w:t>
      </w:r>
      <w:proofErr w:type="spellEnd"/>
      <w:r w:rsidR="00274C13" w:rsidRPr="00C21FE4">
        <w:rPr>
          <w:lang w:val="en-GB"/>
        </w:rPr>
        <w:t xml:space="preserve"> </w:t>
      </w:r>
      <w:proofErr w:type="spellStart"/>
      <w:r w:rsidR="00274C13" w:rsidRPr="00C21FE4">
        <w:rPr>
          <w:lang w:val="en-GB"/>
        </w:rPr>
        <w:t>Knogler</w:t>
      </w:r>
      <w:proofErr w:type="spellEnd"/>
      <w:r w:rsidR="00274C13" w:rsidRPr="00C21FE4">
        <w:rPr>
          <w:lang w:val="en-GB"/>
        </w:rPr>
        <w:t xml:space="preserve">, Director </w:t>
      </w:r>
      <w:r w:rsidR="00605A4E">
        <w:rPr>
          <w:lang w:val="en-GB"/>
        </w:rPr>
        <w:t xml:space="preserve">of TGW’s </w:t>
      </w:r>
      <w:r w:rsidR="00274C13" w:rsidRPr="00C21FE4">
        <w:rPr>
          <w:lang w:val="en-GB"/>
        </w:rPr>
        <w:lastRenderedPageBreak/>
        <w:t>Global Lifetime Services.</w:t>
      </w:r>
      <w:r w:rsidR="00605A4E">
        <w:rPr>
          <w:lang w:val="en-GB"/>
        </w:rPr>
        <w:t xml:space="preserve"> </w:t>
      </w:r>
      <w:r w:rsidR="00274C13">
        <w:rPr>
          <w:lang w:val="en-GB"/>
        </w:rPr>
        <w:t>“The smart glasses ensure e</w:t>
      </w:r>
      <w:r w:rsidRPr="00C21FE4">
        <w:rPr>
          <w:lang w:val="en-GB"/>
        </w:rPr>
        <w:t xml:space="preserve">fficient communication and </w:t>
      </w:r>
      <w:r w:rsidR="00274C13">
        <w:rPr>
          <w:lang w:val="en-GB"/>
        </w:rPr>
        <w:t>enhance the ability to find a solution quickly, adding value for the customer.”</w:t>
      </w:r>
    </w:p>
    <w:p w14:paraId="2F213C32" w14:textId="4D2DE4E9" w:rsidR="007903B8" w:rsidRPr="00C21FE4" w:rsidRDefault="00274C13" w:rsidP="003A1ED7">
      <w:pPr>
        <w:spacing w:before="120" w:after="240"/>
        <w:ind w:right="1835"/>
        <w:rPr>
          <w:lang w:val="en-GB"/>
        </w:rPr>
      </w:pPr>
      <w:r>
        <w:rPr>
          <w:lang w:val="en-GB"/>
        </w:rPr>
        <w:t xml:space="preserve">When TGW recognized the potential of </w:t>
      </w:r>
      <w:r w:rsidR="00605A4E">
        <w:rPr>
          <w:lang w:val="en-GB"/>
        </w:rPr>
        <w:t>augmented reality</w:t>
      </w:r>
      <w:r>
        <w:rPr>
          <w:lang w:val="en-GB"/>
        </w:rPr>
        <w:t xml:space="preserve"> technology within this area, it established both a pilot project and a partnership with a smart glasses provider to help align the solution with TGW’s software systems. “Through those effort</w:t>
      </w:r>
      <w:r w:rsidR="00605A4E">
        <w:rPr>
          <w:lang w:val="en-GB"/>
        </w:rPr>
        <w:t>s</w:t>
      </w:r>
      <w:r>
        <w:rPr>
          <w:lang w:val="en-GB"/>
        </w:rPr>
        <w:t>, we were able to turn an idea into an Innovation+</w:t>
      </w:r>
      <w:r w:rsidR="007903B8" w:rsidRPr="00C21FE4">
        <w:rPr>
          <w:lang w:val="en-GB"/>
        </w:rPr>
        <w:t xml:space="preserve"> </w:t>
      </w:r>
      <w:r>
        <w:rPr>
          <w:lang w:val="en-GB"/>
        </w:rPr>
        <w:t>solution that is already bringing exc</w:t>
      </w:r>
      <w:r w:rsidR="00605A4E">
        <w:rPr>
          <w:lang w:val="en-GB"/>
        </w:rPr>
        <w:t>eptional value to our customers,</w:t>
      </w:r>
      <w:r>
        <w:rPr>
          <w:lang w:val="en-GB"/>
        </w:rPr>
        <w:t>”</w:t>
      </w:r>
      <w:r w:rsidR="00605A4E">
        <w:rPr>
          <w:lang w:val="en-GB"/>
        </w:rPr>
        <w:t xml:space="preserve"> </w:t>
      </w:r>
      <w:proofErr w:type="spellStart"/>
      <w:r w:rsidR="00605A4E">
        <w:rPr>
          <w:lang w:val="en-GB"/>
        </w:rPr>
        <w:t>Knogler</w:t>
      </w:r>
      <w:proofErr w:type="spellEnd"/>
      <w:r w:rsidR="00605A4E">
        <w:rPr>
          <w:lang w:val="en-GB"/>
        </w:rPr>
        <w:t xml:space="preserve"> continues.</w:t>
      </w:r>
      <w:r>
        <w:rPr>
          <w:lang w:val="en-GB"/>
        </w:rPr>
        <w:t xml:space="preserve"> </w:t>
      </w:r>
    </w:p>
    <w:p w14:paraId="290F0DE7" w14:textId="09F6DD7C" w:rsidR="007903B8" w:rsidRPr="00C21FE4" w:rsidRDefault="00274C13" w:rsidP="003A1ED7">
      <w:pPr>
        <w:spacing w:before="120" w:after="240"/>
        <w:ind w:right="1835"/>
        <w:rPr>
          <w:b/>
          <w:lang w:val="en-GB"/>
        </w:rPr>
      </w:pPr>
      <w:r>
        <w:rPr>
          <w:b/>
          <w:lang w:val="en-GB"/>
        </w:rPr>
        <w:t>Innovation+: Active development of robotic picking solutions</w:t>
      </w:r>
    </w:p>
    <w:p w14:paraId="5FE7089B" w14:textId="2BAAFF2A" w:rsidR="009A12A0" w:rsidRDefault="009A12A0" w:rsidP="003A1ED7">
      <w:pPr>
        <w:spacing w:before="120" w:after="240"/>
        <w:ind w:right="1835"/>
        <w:rPr>
          <w:lang w:val="en-GB"/>
        </w:rPr>
      </w:pPr>
      <w:r>
        <w:rPr>
          <w:lang w:val="en-GB"/>
        </w:rPr>
        <w:t>With the July 2016 addition of T</w:t>
      </w:r>
      <w:r w:rsidR="007903B8" w:rsidRPr="00C21FE4">
        <w:rPr>
          <w:lang w:val="en-GB"/>
        </w:rPr>
        <w:t>GW Robotics</w:t>
      </w:r>
      <w:r>
        <w:rPr>
          <w:lang w:val="en-GB"/>
        </w:rPr>
        <w:t>, located</w:t>
      </w:r>
      <w:r w:rsidR="007903B8" w:rsidRPr="00C21FE4">
        <w:rPr>
          <w:lang w:val="en-GB"/>
        </w:rPr>
        <w:t xml:space="preserve"> in </w:t>
      </w:r>
      <w:proofErr w:type="spellStart"/>
      <w:r w:rsidR="007903B8" w:rsidRPr="00C21FE4">
        <w:rPr>
          <w:lang w:val="en-GB"/>
        </w:rPr>
        <w:t>Stephanskirchen</w:t>
      </w:r>
      <w:proofErr w:type="spellEnd"/>
      <w:r w:rsidR="007903B8">
        <w:rPr>
          <w:lang w:val="en-GB"/>
        </w:rPr>
        <w:t>, Germany,</w:t>
      </w:r>
      <w:r>
        <w:rPr>
          <w:lang w:val="en-GB"/>
        </w:rPr>
        <w:t xml:space="preserve"> TGW began to explore</w:t>
      </w:r>
      <w:r w:rsidR="00605A4E">
        <w:rPr>
          <w:lang w:val="en-GB"/>
        </w:rPr>
        <w:t xml:space="preserve"> new ways to further add robot solutions in</w:t>
      </w:r>
      <w:r>
        <w:rPr>
          <w:lang w:val="en-GB"/>
        </w:rPr>
        <w:t xml:space="preserve">to automated handling processes within warehousing and distribution facilities. Already </w:t>
      </w:r>
      <w:r w:rsidR="007903B8" w:rsidRPr="00C21FE4">
        <w:rPr>
          <w:lang w:val="en-GB"/>
        </w:rPr>
        <w:t xml:space="preserve">widely used </w:t>
      </w:r>
      <w:r>
        <w:rPr>
          <w:lang w:val="en-GB"/>
        </w:rPr>
        <w:t>for decades</w:t>
      </w:r>
      <w:r w:rsidRPr="00C21FE4">
        <w:rPr>
          <w:lang w:val="en-GB"/>
        </w:rPr>
        <w:t xml:space="preserve"> </w:t>
      </w:r>
      <w:r w:rsidR="007903B8" w:rsidRPr="00C21FE4">
        <w:rPr>
          <w:lang w:val="en-GB"/>
        </w:rPr>
        <w:t>in production industries</w:t>
      </w:r>
      <w:r w:rsidR="007903B8">
        <w:rPr>
          <w:lang w:val="en-GB"/>
        </w:rPr>
        <w:t xml:space="preserve"> </w:t>
      </w:r>
      <w:r>
        <w:rPr>
          <w:lang w:val="en-GB"/>
        </w:rPr>
        <w:t xml:space="preserve">with automated and robotic assembly lines, robotic technologies have been enhancing receiving and shipment in </w:t>
      </w:r>
      <w:proofErr w:type="spellStart"/>
      <w:r>
        <w:rPr>
          <w:lang w:val="en-GB"/>
        </w:rPr>
        <w:t>intralogistics</w:t>
      </w:r>
      <w:proofErr w:type="spellEnd"/>
      <w:r>
        <w:rPr>
          <w:lang w:val="en-GB"/>
        </w:rPr>
        <w:t xml:space="preserve"> operations as well, explains Winkler. </w:t>
      </w:r>
    </w:p>
    <w:p w14:paraId="4517476B" w14:textId="44A7C9C0" w:rsidR="009A12A0" w:rsidRDefault="009A12A0" w:rsidP="003A1ED7">
      <w:pPr>
        <w:spacing w:before="120" w:after="240"/>
        <w:ind w:right="1835"/>
        <w:rPr>
          <w:lang w:val="en-GB"/>
        </w:rPr>
      </w:pPr>
      <w:r>
        <w:rPr>
          <w:lang w:val="en-GB"/>
        </w:rPr>
        <w:t>“</w:t>
      </w:r>
      <w:r w:rsidR="007903B8" w:rsidRPr="00C21FE4">
        <w:rPr>
          <w:lang w:val="en-GB"/>
        </w:rPr>
        <w:t>Rob</w:t>
      </w:r>
      <w:r w:rsidR="007903B8">
        <w:rPr>
          <w:lang w:val="en-GB"/>
        </w:rPr>
        <w:t xml:space="preserve">ots </w:t>
      </w:r>
      <w:r w:rsidR="007903B8" w:rsidRPr="00C21FE4">
        <w:rPr>
          <w:lang w:val="en-GB"/>
        </w:rPr>
        <w:t xml:space="preserve">are used in goods receiving areas for </w:t>
      </w:r>
      <w:proofErr w:type="spellStart"/>
      <w:r w:rsidR="007903B8" w:rsidRPr="00C21FE4">
        <w:rPr>
          <w:lang w:val="en-GB"/>
        </w:rPr>
        <w:t>depalleti</w:t>
      </w:r>
      <w:r>
        <w:rPr>
          <w:lang w:val="en-GB"/>
        </w:rPr>
        <w:t>z</w:t>
      </w:r>
      <w:r w:rsidR="007903B8" w:rsidRPr="00C21FE4">
        <w:rPr>
          <w:lang w:val="en-GB"/>
        </w:rPr>
        <w:t>ing</w:t>
      </w:r>
      <w:proofErr w:type="spellEnd"/>
      <w:r>
        <w:rPr>
          <w:lang w:val="en-GB"/>
        </w:rPr>
        <w:t>,</w:t>
      </w:r>
      <w:r w:rsidR="007903B8" w:rsidRPr="00C21FE4">
        <w:rPr>
          <w:lang w:val="en-GB"/>
        </w:rPr>
        <w:t xml:space="preserve"> in shipping areas for palleti</w:t>
      </w:r>
      <w:r>
        <w:rPr>
          <w:lang w:val="en-GB"/>
        </w:rPr>
        <w:t xml:space="preserve">zing goods, </w:t>
      </w:r>
      <w:r w:rsidR="00605A4E">
        <w:rPr>
          <w:lang w:val="en-GB"/>
        </w:rPr>
        <w:t>and</w:t>
      </w:r>
      <w:r>
        <w:rPr>
          <w:lang w:val="en-GB"/>
        </w:rPr>
        <w:t xml:space="preserve"> for automatic loading and unloading of automated storage system carriers</w:t>
      </w:r>
      <w:r w:rsidR="007903B8" w:rsidRPr="00C21FE4">
        <w:rPr>
          <w:lang w:val="en-GB"/>
        </w:rPr>
        <w:t xml:space="preserve">," </w:t>
      </w:r>
      <w:r>
        <w:rPr>
          <w:lang w:val="en-GB"/>
        </w:rPr>
        <w:t>he says</w:t>
      </w:r>
      <w:r w:rsidR="007903B8" w:rsidRPr="00C21FE4">
        <w:rPr>
          <w:lang w:val="en-GB"/>
        </w:rPr>
        <w:t xml:space="preserve">. </w:t>
      </w:r>
    </w:p>
    <w:p w14:paraId="41951230" w14:textId="663C9BB3" w:rsidR="007903B8" w:rsidRPr="00C21FE4" w:rsidRDefault="009A12A0" w:rsidP="003A1ED7">
      <w:pPr>
        <w:spacing w:before="120" w:after="240"/>
        <w:ind w:right="1835"/>
        <w:rPr>
          <w:lang w:val="en-GB"/>
        </w:rPr>
      </w:pPr>
      <w:r>
        <w:rPr>
          <w:lang w:val="en-GB"/>
        </w:rPr>
        <w:t xml:space="preserve">To further enhance customer value through robotics, TGW has been exploring </w:t>
      </w:r>
      <w:r w:rsidR="00605A4E">
        <w:rPr>
          <w:lang w:val="en-GB"/>
        </w:rPr>
        <w:t>the</w:t>
      </w:r>
      <w:r>
        <w:rPr>
          <w:lang w:val="en-GB"/>
        </w:rPr>
        <w:t xml:space="preserve"> </w:t>
      </w:r>
      <w:r w:rsidR="007903B8" w:rsidRPr="00C21FE4">
        <w:rPr>
          <w:lang w:val="en-GB"/>
        </w:rPr>
        <w:t xml:space="preserve">development of highly flexible systems </w:t>
      </w:r>
      <w:r>
        <w:rPr>
          <w:lang w:val="en-GB"/>
        </w:rPr>
        <w:t>based on</w:t>
      </w:r>
      <w:r w:rsidR="007903B8" w:rsidRPr="00C21FE4">
        <w:rPr>
          <w:lang w:val="en-GB"/>
        </w:rPr>
        <w:t xml:space="preserve"> industrial robots</w:t>
      </w:r>
      <w:r w:rsidR="009272A0">
        <w:rPr>
          <w:lang w:val="en-GB"/>
        </w:rPr>
        <w:t>. These robots are</w:t>
      </w:r>
      <w:r w:rsidR="007903B8" w:rsidRPr="00C21FE4">
        <w:rPr>
          <w:lang w:val="en-GB"/>
        </w:rPr>
        <w:t xml:space="preserve"> </w:t>
      </w:r>
      <w:r>
        <w:rPr>
          <w:lang w:val="en-GB"/>
        </w:rPr>
        <w:t>equipped with</w:t>
      </w:r>
      <w:r w:rsidR="007903B8" w:rsidRPr="00C21FE4">
        <w:rPr>
          <w:lang w:val="en-GB"/>
        </w:rPr>
        <w:t xml:space="preserve"> innovative gripper systems </w:t>
      </w:r>
      <w:r>
        <w:rPr>
          <w:lang w:val="en-GB"/>
        </w:rPr>
        <w:t xml:space="preserve">to meet </w:t>
      </w:r>
      <w:r w:rsidR="009272A0">
        <w:rPr>
          <w:lang w:val="en-GB"/>
        </w:rPr>
        <w:t xml:space="preserve">customers' needs for </w:t>
      </w:r>
      <w:r>
        <w:rPr>
          <w:lang w:val="en-GB"/>
        </w:rPr>
        <w:t xml:space="preserve">higher throughput and to accommodate </w:t>
      </w:r>
      <w:r w:rsidR="009272A0">
        <w:rPr>
          <w:lang w:val="en-GB"/>
        </w:rPr>
        <w:t>increasingly</w:t>
      </w:r>
      <w:r>
        <w:rPr>
          <w:lang w:val="en-GB"/>
        </w:rPr>
        <w:t xml:space="preserve"> variable handling </w:t>
      </w:r>
      <w:r w:rsidR="009272A0">
        <w:rPr>
          <w:lang w:val="en-GB"/>
        </w:rPr>
        <w:t>demands</w:t>
      </w:r>
      <w:r w:rsidR="007903B8">
        <w:rPr>
          <w:lang w:val="en-GB"/>
        </w:rPr>
        <w:t xml:space="preserve">. </w:t>
      </w:r>
    </w:p>
    <w:p w14:paraId="79768911" w14:textId="61D44B3F" w:rsidR="004D3218" w:rsidRDefault="009A12A0" w:rsidP="003A1ED7">
      <w:pPr>
        <w:spacing w:before="120" w:after="240"/>
        <w:ind w:right="1835"/>
        <w:rPr>
          <w:lang w:val="en-GB"/>
        </w:rPr>
      </w:pPr>
      <w:r>
        <w:rPr>
          <w:lang w:val="en-GB"/>
        </w:rPr>
        <w:t xml:space="preserve">As an Innovation+ project, TGW has leveraged developments in </w:t>
      </w:r>
      <w:r w:rsidR="007903B8" w:rsidRPr="00C21FE4">
        <w:rPr>
          <w:lang w:val="en-GB"/>
        </w:rPr>
        <w:t>cognitive robotics</w:t>
      </w:r>
      <w:r>
        <w:rPr>
          <w:lang w:val="en-GB"/>
        </w:rPr>
        <w:t>—robots with the capability to see</w:t>
      </w:r>
      <w:r w:rsidR="007903B8" w:rsidRPr="00C21FE4">
        <w:rPr>
          <w:lang w:val="en-GB"/>
        </w:rPr>
        <w:t>, identify, decide and react</w:t>
      </w:r>
      <w:r w:rsidR="004D3218">
        <w:rPr>
          <w:lang w:val="en-GB"/>
        </w:rPr>
        <w:t>—to automate previously manual picking processes</w:t>
      </w:r>
      <w:r w:rsidR="007903B8" w:rsidRPr="00C21FE4">
        <w:rPr>
          <w:lang w:val="en-GB"/>
        </w:rPr>
        <w:t xml:space="preserve">. </w:t>
      </w:r>
      <w:r w:rsidR="004D3218">
        <w:rPr>
          <w:lang w:val="en-GB"/>
        </w:rPr>
        <w:t xml:space="preserve">Equipped with advanced sensors and camera systems, these robots can </w:t>
      </w:r>
      <w:r w:rsidR="007903B8" w:rsidRPr="00C21FE4">
        <w:rPr>
          <w:lang w:val="en-GB"/>
        </w:rPr>
        <w:t xml:space="preserve">identify single items in a tote, decide what items </w:t>
      </w:r>
      <w:r w:rsidR="009272A0">
        <w:rPr>
          <w:lang w:val="en-GB"/>
        </w:rPr>
        <w:t>need</w:t>
      </w:r>
      <w:r w:rsidR="007903B8" w:rsidRPr="00C21FE4">
        <w:rPr>
          <w:lang w:val="en-GB"/>
        </w:rPr>
        <w:t xml:space="preserve"> to be picked</w:t>
      </w:r>
      <w:r w:rsidR="004D3218">
        <w:rPr>
          <w:lang w:val="en-GB"/>
        </w:rPr>
        <w:t>,</w:t>
      </w:r>
      <w:r w:rsidR="007903B8" w:rsidRPr="00C21FE4">
        <w:rPr>
          <w:lang w:val="en-GB"/>
        </w:rPr>
        <w:t xml:space="preserve"> grab </w:t>
      </w:r>
      <w:r w:rsidR="004D3218">
        <w:rPr>
          <w:lang w:val="en-GB"/>
        </w:rPr>
        <w:t>those items</w:t>
      </w:r>
      <w:r w:rsidR="007903B8" w:rsidRPr="00C21FE4">
        <w:rPr>
          <w:lang w:val="en-GB"/>
        </w:rPr>
        <w:t xml:space="preserve"> </w:t>
      </w:r>
      <w:r w:rsidR="009272A0" w:rsidRPr="00C21FE4">
        <w:rPr>
          <w:lang w:val="en-GB"/>
        </w:rPr>
        <w:t>directly</w:t>
      </w:r>
      <w:r w:rsidR="009272A0">
        <w:rPr>
          <w:lang w:val="en-GB"/>
        </w:rPr>
        <w:t>,</w:t>
      </w:r>
      <w:r w:rsidR="009272A0" w:rsidRPr="00C21FE4">
        <w:rPr>
          <w:lang w:val="en-GB"/>
        </w:rPr>
        <w:t xml:space="preserve"> </w:t>
      </w:r>
      <w:r w:rsidR="007903B8" w:rsidRPr="00C21FE4">
        <w:rPr>
          <w:lang w:val="en-GB"/>
        </w:rPr>
        <w:t xml:space="preserve">and </w:t>
      </w:r>
      <w:r w:rsidR="004D3218">
        <w:rPr>
          <w:lang w:val="en-GB"/>
        </w:rPr>
        <w:t>remove them from the tote</w:t>
      </w:r>
      <w:r w:rsidR="007903B8" w:rsidRPr="00C21FE4">
        <w:rPr>
          <w:lang w:val="en-GB"/>
        </w:rPr>
        <w:t xml:space="preserve">. </w:t>
      </w:r>
    </w:p>
    <w:p w14:paraId="0EE788EB" w14:textId="4B9F4497" w:rsidR="007903B8" w:rsidRDefault="007903B8" w:rsidP="003A1ED7">
      <w:pPr>
        <w:spacing w:before="120" w:after="240"/>
        <w:ind w:right="1835"/>
        <w:rPr>
          <w:lang w:val="en-GB"/>
        </w:rPr>
      </w:pPr>
      <w:r w:rsidRPr="00C21FE4">
        <w:rPr>
          <w:lang w:val="en-GB"/>
        </w:rPr>
        <w:t>"For humans</w:t>
      </w:r>
      <w:r w:rsidR="004D3218">
        <w:rPr>
          <w:lang w:val="en-GB"/>
        </w:rPr>
        <w:t>,</w:t>
      </w:r>
      <w:r w:rsidRPr="00C21FE4">
        <w:rPr>
          <w:lang w:val="en-GB"/>
        </w:rPr>
        <w:t xml:space="preserve"> these tasks seem simple</w:t>
      </w:r>
      <w:r w:rsidR="004D3218">
        <w:rPr>
          <w:lang w:val="en-GB"/>
        </w:rPr>
        <w:t>. B</w:t>
      </w:r>
      <w:r w:rsidRPr="00C21FE4">
        <w:rPr>
          <w:lang w:val="en-GB"/>
        </w:rPr>
        <w:t>ut for a machine</w:t>
      </w:r>
      <w:r w:rsidR="004D3218">
        <w:rPr>
          <w:lang w:val="en-GB"/>
        </w:rPr>
        <w:t xml:space="preserve"> to complete these </w:t>
      </w:r>
      <w:r w:rsidR="009272A0">
        <w:rPr>
          <w:lang w:val="en-GB"/>
        </w:rPr>
        <w:t>steps</w:t>
      </w:r>
      <w:r w:rsidR="004D3218">
        <w:rPr>
          <w:lang w:val="en-GB"/>
        </w:rPr>
        <w:t xml:space="preserve"> requires a complex interaction of sensor technologies and data processing,” Winkler continues. “Thanks to</w:t>
      </w:r>
      <w:r w:rsidRPr="00C21FE4">
        <w:rPr>
          <w:lang w:val="en-GB"/>
        </w:rPr>
        <w:t xml:space="preserve"> major </w:t>
      </w:r>
      <w:r w:rsidR="004D3218">
        <w:rPr>
          <w:lang w:val="en-GB"/>
        </w:rPr>
        <w:t xml:space="preserve">advances in </w:t>
      </w:r>
      <w:r w:rsidR="009272A0">
        <w:rPr>
          <w:lang w:val="en-GB"/>
        </w:rPr>
        <w:t>robotic</w:t>
      </w:r>
      <w:r w:rsidR="004D3218">
        <w:rPr>
          <w:lang w:val="en-GB"/>
        </w:rPr>
        <w:t xml:space="preserve"> systems over </w:t>
      </w:r>
      <w:r w:rsidRPr="00C21FE4">
        <w:rPr>
          <w:lang w:val="en-GB"/>
        </w:rPr>
        <w:t>the last five to ten years</w:t>
      </w:r>
      <w:r w:rsidR="004D3218">
        <w:rPr>
          <w:lang w:val="en-GB"/>
        </w:rPr>
        <w:t>, we’ve been able to develop and implement these systems into some of the first picking process</w:t>
      </w:r>
      <w:r w:rsidR="009272A0">
        <w:rPr>
          <w:lang w:val="en-GB"/>
        </w:rPr>
        <w:t>es at</w:t>
      </w:r>
      <w:r w:rsidR="004D3218">
        <w:rPr>
          <w:lang w:val="en-GB"/>
        </w:rPr>
        <w:t xml:space="preserve"> customer applications today</w:t>
      </w:r>
      <w:r>
        <w:rPr>
          <w:lang w:val="en-GB"/>
        </w:rPr>
        <w:t>."</w:t>
      </w:r>
    </w:p>
    <w:p w14:paraId="637C4BCD" w14:textId="6F6991AD" w:rsidR="007903B8" w:rsidRPr="00C21FE4" w:rsidRDefault="004D3218" w:rsidP="003A1ED7">
      <w:pPr>
        <w:spacing w:before="120" w:after="240"/>
        <w:ind w:right="1835"/>
        <w:rPr>
          <w:b/>
          <w:lang w:val="en-GB"/>
        </w:rPr>
      </w:pPr>
      <w:r>
        <w:rPr>
          <w:b/>
          <w:lang w:val="en-GB"/>
        </w:rPr>
        <w:t>Innovation+</w:t>
      </w:r>
      <w:r w:rsidR="007903B8" w:rsidRPr="00C21FE4">
        <w:rPr>
          <w:b/>
          <w:lang w:val="en-GB"/>
        </w:rPr>
        <w:t xml:space="preserve"> = </w:t>
      </w:r>
      <w:r w:rsidR="009272A0">
        <w:rPr>
          <w:b/>
          <w:lang w:val="en-GB"/>
        </w:rPr>
        <w:t>S</w:t>
      </w:r>
      <w:r w:rsidR="007903B8" w:rsidRPr="00C21FE4">
        <w:rPr>
          <w:b/>
          <w:lang w:val="en-GB"/>
        </w:rPr>
        <w:t xml:space="preserve">uccess for </w:t>
      </w:r>
      <w:r>
        <w:rPr>
          <w:b/>
          <w:lang w:val="en-GB"/>
        </w:rPr>
        <w:t>TGW’s</w:t>
      </w:r>
      <w:r w:rsidR="007903B8" w:rsidRPr="00C21FE4">
        <w:rPr>
          <w:b/>
          <w:lang w:val="en-GB"/>
        </w:rPr>
        <w:t xml:space="preserve"> customers</w:t>
      </w:r>
    </w:p>
    <w:p w14:paraId="0724B5E2" w14:textId="77777777" w:rsidR="00845FEB" w:rsidRDefault="00F947BE" w:rsidP="003A1ED7">
      <w:pPr>
        <w:spacing w:before="120" w:after="240"/>
        <w:ind w:right="1835"/>
        <w:rPr>
          <w:lang w:val="en-GB"/>
        </w:rPr>
      </w:pPr>
      <w:r>
        <w:rPr>
          <w:lang w:val="en-GB"/>
        </w:rPr>
        <w:lastRenderedPageBreak/>
        <w:t xml:space="preserve">Throughout TGW, the Innovation+ methodology has yielded significant productivity and efficiency improvements for customers, concludes Winkler. </w:t>
      </w:r>
    </w:p>
    <w:p w14:paraId="3274ECA9" w14:textId="47B1BDB1" w:rsidR="007903B8" w:rsidRPr="00C21FE4" w:rsidRDefault="007903B8" w:rsidP="003A1ED7">
      <w:pPr>
        <w:spacing w:before="120" w:after="240"/>
        <w:ind w:right="1835"/>
        <w:rPr>
          <w:lang w:val="en-GB"/>
        </w:rPr>
      </w:pPr>
      <w:r w:rsidRPr="00C21FE4">
        <w:rPr>
          <w:lang w:val="en-GB"/>
        </w:rPr>
        <w:t>"At TGW</w:t>
      </w:r>
      <w:r w:rsidR="00845FEB">
        <w:rPr>
          <w:lang w:val="en-GB"/>
        </w:rPr>
        <w:t>,</w:t>
      </w:r>
      <w:r w:rsidRPr="00C21FE4">
        <w:rPr>
          <w:lang w:val="en-GB"/>
        </w:rPr>
        <w:t xml:space="preserve"> we don't deal with 'nice gadgets</w:t>
      </w:r>
      <w:r w:rsidR="00605A4E">
        <w:rPr>
          <w:lang w:val="en-GB"/>
        </w:rPr>
        <w:t>.</w:t>
      </w:r>
      <w:r w:rsidRPr="00C21FE4">
        <w:rPr>
          <w:lang w:val="en-GB"/>
        </w:rPr>
        <w:t xml:space="preserve">' We are working on agile developments that provide long-term </w:t>
      </w:r>
      <w:r w:rsidR="00F947BE">
        <w:rPr>
          <w:lang w:val="en-GB"/>
        </w:rPr>
        <w:t>value</w:t>
      </w:r>
      <w:r w:rsidR="009272A0">
        <w:rPr>
          <w:lang w:val="en-GB"/>
        </w:rPr>
        <w:t>, b</w:t>
      </w:r>
      <w:r w:rsidR="009272A0" w:rsidRPr="00C21FE4">
        <w:rPr>
          <w:lang w:val="en-GB"/>
        </w:rPr>
        <w:t xml:space="preserve">ecause </w:t>
      </w:r>
      <w:r w:rsidR="009272A0">
        <w:rPr>
          <w:lang w:val="en-GB"/>
        </w:rPr>
        <w:t xml:space="preserve">our customers trust us to provide solutions that keep them </w:t>
      </w:r>
      <w:r w:rsidR="009272A0">
        <w:rPr>
          <w:lang w:val="en-GB"/>
        </w:rPr>
        <w:t>successful year after year</w:t>
      </w:r>
      <w:r w:rsidR="00845FEB">
        <w:rPr>
          <w:lang w:val="en-GB"/>
        </w:rPr>
        <w:t>,” he says. “</w:t>
      </w:r>
      <w:r w:rsidR="00605A4E">
        <w:rPr>
          <w:lang w:val="en-GB"/>
        </w:rPr>
        <w:t>That’s</w:t>
      </w:r>
      <w:r w:rsidR="009272A0">
        <w:rPr>
          <w:lang w:val="en-GB"/>
        </w:rPr>
        <w:t xml:space="preserve"> what Innovation+ is all about; it’s in TGW’s DNA, and</w:t>
      </w:r>
      <w:r w:rsidR="009272A0" w:rsidRPr="00C21FE4">
        <w:rPr>
          <w:lang w:val="en-GB"/>
        </w:rPr>
        <w:t xml:space="preserve"> we are proud </w:t>
      </w:r>
      <w:r w:rsidR="009272A0">
        <w:rPr>
          <w:lang w:val="en-GB"/>
        </w:rPr>
        <w:t>of it</w:t>
      </w:r>
      <w:r w:rsidR="009272A0">
        <w:rPr>
          <w:lang w:val="en-GB"/>
        </w:rPr>
        <w:t>.”</w:t>
      </w:r>
    </w:p>
    <w:p w14:paraId="0822E501" w14:textId="2D284045" w:rsidR="00DB5875" w:rsidRDefault="00A849D4" w:rsidP="001B3E4D">
      <w:pPr>
        <w:spacing w:before="120" w:after="240"/>
        <w:ind w:right="1837"/>
        <w:rPr>
          <w:lang w:val="en-GB"/>
        </w:rPr>
      </w:pPr>
      <w:hyperlink r:id="rId9" w:history="1">
        <w:r w:rsidR="007903B8" w:rsidRPr="003D2B65">
          <w:rPr>
            <w:rStyle w:val="Hyperlink"/>
            <w:lang w:val="en-GB"/>
          </w:rPr>
          <w:t>www.tgw-group.com</w:t>
        </w:r>
      </w:hyperlink>
    </w:p>
    <w:p w14:paraId="2729EEC8" w14:textId="77777777" w:rsidR="007903B8" w:rsidRPr="009B79A8" w:rsidRDefault="007903B8" w:rsidP="001B3E4D">
      <w:pPr>
        <w:spacing w:before="120" w:after="240"/>
        <w:ind w:right="1837"/>
        <w:rPr>
          <w:lang w:val="en-GB"/>
        </w:rPr>
      </w:pPr>
    </w:p>
    <w:p w14:paraId="64C11632" w14:textId="77777777" w:rsidR="00A849D4" w:rsidRPr="009B79A8" w:rsidRDefault="00A849D4" w:rsidP="00A849D4">
      <w:pPr>
        <w:spacing w:before="240" w:after="120"/>
        <w:ind w:right="1837"/>
        <w:rPr>
          <w:b/>
          <w:lang w:val="en-GB"/>
        </w:rPr>
      </w:pPr>
      <w:r w:rsidRPr="009B79A8">
        <w:rPr>
          <w:b/>
          <w:lang w:val="en-GB"/>
        </w:rPr>
        <w:t>About TGW Logistics Group:</w:t>
      </w:r>
    </w:p>
    <w:p w14:paraId="5E7D5C12" w14:textId="77777777" w:rsidR="00A849D4" w:rsidRPr="009B79A8" w:rsidRDefault="00A849D4" w:rsidP="00A849D4">
      <w:pPr>
        <w:spacing w:before="240" w:after="120"/>
        <w:ind w:right="1837"/>
        <w:rPr>
          <w:lang w:val="en-GB"/>
        </w:rPr>
      </w:pPr>
      <w:r w:rsidRPr="009B79A8">
        <w:rPr>
          <w:lang w:val="en-GB"/>
        </w:rPr>
        <w:t>TGW Logistics Group is a global leading systems provider of hig</w:t>
      </w:r>
      <w:r>
        <w:rPr>
          <w:lang w:val="en-GB"/>
        </w:rPr>
        <w:t>hly dynamic, automated and turn</w:t>
      </w:r>
      <w:r w:rsidRPr="009B79A8">
        <w:rPr>
          <w:lang w:val="en-GB"/>
        </w:rPr>
        <w:t xml:space="preserve">key logistics solutions. Since 1969 the company has been implementing different internal logistics solutions, from small material handling applications to complex logistics centres. </w:t>
      </w:r>
    </w:p>
    <w:p w14:paraId="0A420B90" w14:textId="77777777" w:rsidR="00A849D4" w:rsidRPr="000242E4" w:rsidRDefault="00A849D4" w:rsidP="00A849D4">
      <w:pPr>
        <w:spacing w:before="240" w:after="120"/>
        <w:ind w:right="1837"/>
        <w:rPr>
          <w:lang w:val="en-GB"/>
        </w:rPr>
      </w:pPr>
      <w:r w:rsidRPr="009B79A8">
        <w:rPr>
          <w:lang w:val="en-GB"/>
        </w:rPr>
        <w:t xml:space="preserve">With about 2,600 employees worldwide by now, the Group implements logistics solutions for leading companies in various industries. In the business year 2015/16, the TGW Logistics Group generated sales revenues </w:t>
      </w:r>
      <w:r w:rsidRPr="000242E4">
        <w:rPr>
          <w:lang w:val="en-GB"/>
        </w:rPr>
        <w:t xml:space="preserve">of </w:t>
      </w:r>
      <w:r>
        <w:rPr>
          <w:lang w:val="en-GB"/>
        </w:rPr>
        <w:t>$563.5 million (</w:t>
      </w:r>
      <w:r w:rsidRPr="00C408B0">
        <w:rPr>
          <w:lang w:val="en-GB"/>
        </w:rPr>
        <w:t>532 million Euros</w:t>
      </w:r>
      <w:r>
        <w:rPr>
          <w:lang w:val="en-GB"/>
        </w:rPr>
        <w:t>)</w:t>
      </w:r>
      <w:r w:rsidRPr="0053357B">
        <w:rPr>
          <w:lang w:val="en-GB"/>
        </w:rPr>
        <w:t>.</w:t>
      </w:r>
    </w:p>
    <w:p w14:paraId="22C251CE" w14:textId="77777777" w:rsidR="00A849D4" w:rsidRPr="009B79A8" w:rsidRDefault="00A849D4" w:rsidP="00A849D4">
      <w:pPr>
        <w:spacing w:before="240" w:after="120"/>
        <w:ind w:right="1837"/>
        <w:rPr>
          <w:b/>
          <w:lang w:val="en-GB"/>
        </w:rPr>
      </w:pPr>
      <w:r w:rsidRPr="009B79A8">
        <w:rPr>
          <w:b/>
          <w:lang w:val="en-GB"/>
        </w:rPr>
        <w:t>Pictures:</w:t>
      </w:r>
    </w:p>
    <w:p w14:paraId="13C9120C" w14:textId="77777777" w:rsidR="00A849D4" w:rsidRPr="009B79A8" w:rsidRDefault="00A849D4" w:rsidP="00A849D4">
      <w:pPr>
        <w:spacing w:before="240" w:after="120"/>
        <w:ind w:right="1837"/>
        <w:rPr>
          <w:lang w:val="en-GB"/>
        </w:rPr>
      </w:pPr>
      <w:r w:rsidRPr="009B79A8">
        <w:rPr>
          <w:lang w:val="en-GB"/>
        </w:rPr>
        <w:t>Reprint with reference to TGW Logistics Group GmbH free of charge. Reprint is not permitted for promotional purposes.</w:t>
      </w:r>
    </w:p>
    <w:p w14:paraId="23C61168" w14:textId="77777777" w:rsidR="00A849D4" w:rsidRPr="009B79A8" w:rsidRDefault="00A849D4" w:rsidP="00A849D4">
      <w:pPr>
        <w:spacing w:line="240" w:lineRule="auto"/>
        <w:ind w:right="1837"/>
        <w:rPr>
          <w:b/>
          <w:lang w:val="en-GB"/>
        </w:rPr>
      </w:pPr>
      <w:r w:rsidRPr="009B79A8">
        <w:rPr>
          <w:b/>
          <w:lang w:val="en-GB"/>
        </w:rPr>
        <w:t>Contact:</w:t>
      </w:r>
    </w:p>
    <w:p w14:paraId="00967B5B" w14:textId="77777777" w:rsidR="00A849D4" w:rsidRPr="00AA7244" w:rsidRDefault="00A849D4" w:rsidP="00A849D4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Andy Lockhart</w:t>
      </w:r>
    </w:p>
    <w:p w14:paraId="28070ADB" w14:textId="77777777" w:rsidR="00A849D4" w:rsidRPr="00AA7244" w:rsidRDefault="00A849D4" w:rsidP="00A849D4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lang w:val="en-US"/>
        </w:rPr>
        <w:t>Vice President Sales, Integrated Systems</w:t>
      </w:r>
    </w:p>
    <w:p w14:paraId="31384143" w14:textId="77777777" w:rsidR="00A849D4" w:rsidRPr="00AA7244" w:rsidRDefault="00A849D4" w:rsidP="00A849D4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TGW Systems, Inc.</w:t>
      </w:r>
    </w:p>
    <w:p w14:paraId="562C742E" w14:textId="77777777" w:rsidR="00A849D4" w:rsidRPr="00AA7244" w:rsidRDefault="00A849D4" w:rsidP="00A849D4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3001 Orchard Vista Drive SE, Suite 300</w:t>
      </w:r>
    </w:p>
    <w:p w14:paraId="0271D9D3" w14:textId="77777777" w:rsidR="00A849D4" w:rsidRPr="00AA7244" w:rsidRDefault="00A849D4" w:rsidP="00A849D4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Grand Rapids, MI 49546</w:t>
      </w:r>
    </w:p>
    <w:p w14:paraId="64BE2BFF" w14:textId="77777777" w:rsidR="00A849D4" w:rsidRPr="00AA7244" w:rsidRDefault="00A849D4" w:rsidP="00A849D4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T: 231.798.4547</w:t>
      </w:r>
    </w:p>
    <w:p w14:paraId="6EAAC641" w14:textId="77777777" w:rsidR="00A849D4" w:rsidRPr="00AA7244" w:rsidRDefault="00A849D4" w:rsidP="00A849D4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 xml:space="preserve">E-mail: </w:t>
      </w:r>
      <w:hyperlink r:id="rId10" w:history="1">
        <w:r w:rsidRPr="00AA7244">
          <w:rPr>
            <w:rStyle w:val="Hyperlink"/>
            <w:rFonts w:cs="Arial"/>
            <w:szCs w:val="20"/>
            <w:lang w:val="fr-FR"/>
          </w:rPr>
          <w:t>andy.lockhart@tgw-group.com</w:t>
        </w:r>
      </w:hyperlink>
    </w:p>
    <w:p w14:paraId="28849CAF" w14:textId="77777777" w:rsidR="00A849D4" w:rsidRPr="00AA7244" w:rsidRDefault="00A849D4" w:rsidP="00A849D4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E-mail: usinfo@tgw-group.com</w:t>
      </w:r>
    </w:p>
    <w:p w14:paraId="06E686AB" w14:textId="77777777" w:rsidR="004C1432" w:rsidRPr="009B79A8" w:rsidRDefault="004C1432" w:rsidP="004C1432">
      <w:pPr>
        <w:spacing w:line="240" w:lineRule="auto"/>
        <w:ind w:right="1837"/>
        <w:rPr>
          <w:lang w:val="en-GB"/>
        </w:rPr>
      </w:pPr>
    </w:p>
    <w:p w14:paraId="54C91514" w14:textId="77777777" w:rsidR="004C1432" w:rsidRPr="009B79A8" w:rsidRDefault="004C1432" w:rsidP="004C1432">
      <w:pPr>
        <w:spacing w:line="240" w:lineRule="auto"/>
        <w:ind w:right="701"/>
        <w:rPr>
          <w:b/>
          <w:lang w:val="en-GB"/>
        </w:rPr>
      </w:pPr>
      <w:r w:rsidRPr="009B79A8">
        <w:rPr>
          <w:b/>
          <w:lang w:val="en-GB"/>
        </w:rPr>
        <w:t>Press contact:</w:t>
      </w:r>
    </w:p>
    <w:p w14:paraId="413A7AA1" w14:textId="58A43F22" w:rsidR="004C1432" w:rsidRPr="009B79A8" w:rsidRDefault="003A1ED7" w:rsidP="004C1432">
      <w:pPr>
        <w:spacing w:line="240" w:lineRule="auto"/>
        <w:ind w:right="701"/>
        <w:rPr>
          <w:lang w:val="en-GB"/>
        </w:rPr>
      </w:pPr>
      <w:r>
        <w:rPr>
          <w:lang w:val="en-GB"/>
        </w:rPr>
        <w:t>Martin Kirchmayr</w:t>
      </w:r>
    </w:p>
    <w:p w14:paraId="7B7F4E92" w14:textId="0D881FBC" w:rsidR="004C1432" w:rsidRPr="009B79A8" w:rsidRDefault="004C1432" w:rsidP="004C1432">
      <w:pPr>
        <w:spacing w:line="240" w:lineRule="auto"/>
        <w:ind w:right="701"/>
        <w:rPr>
          <w:lang w:val="en-GB"/>
        </w:rPr>
      </w:pPr>
      <w:r w:rsidRPr="009B79A8">
        <w:rPr>
          <w:lang w:val="en-GB"/>
        </w:rPr>
        <w:t>Marketi</w:t>
      </w:r>
      <w:r w:rsidR="003A1ED7">
        <w:rPr>
          <w:lang w:val="en-GB"/>
        </w:rPr>
        <w:t>ng &amp; Communication Manager</w:t>
      </w:r>
    </w:p>
    <w:p w14:paraId="5DF6404E" w14:textId="0BC4CCFF" w:rsidR="004C1432" w:rsidRPr="009B79A8" w:rsidRDefault="003A1ED7" w:rsidP="004C1432">
      <w:pPr>
        <w:spacing w:line="240" w:lineRule="auto"/>
        <w:ind w:right="701"/>
        <w:rPr>
          <w:lang w:val="en-GB"/>
        </w:rPr>
      </w:pPr>
      <w:r>
        <w:rPr>
          <w:lang w:val="en-GB"/>
        </w:rPr>
        <w:t>T: +43.7242.486-1382</w:t>
      </w:r>
    </w:p>
    <w:p w14:paraId="4B0DE78C" w14:textId="77777777" w:rsidR="004C1432" w:rsidRPr="009B79A8" w:rsidRDefault="004C1432" w:rsidP="004C1432">
      <w:pPr>
        <w:spacing w:line="240" w:lineRule="auto"/>
        <w:ind w:right="701"/>
        <w:rPr>
          <w:lang w:val="en-GB"/>
        </w:rPr>
      </w:pPr>
      <w:r w:rsidRPr="009B79A8">
        <w:rPr>
          <w:lang w:val="en-GB"/>
        </w:rPr>
        <w:t>M: +43.664.8187423</w:t>
      </w:r>
    </w:p>
    <w:p w14:paraId="6F78BF52" w14:textId="6139DA3F" w:rsidR="004C1432" w:rsidRPr="009B79A8" w:rsidRDefault="003A1ED7" w:rsidP="004C1432">
      <w:pPr>
        <w:spacing w:line="240" w:lineRule="auto"/>
        <w:ind w:right="701"/>
        <w:rPr>
          <w:lang w:val="en-GB"/>
        </w:rPr>
      </w:pPr>
      <w:proofErr w:type="gramStart"/>
      <w:r>
        <w:rPr>
          <w:lang w:val="en-GB"/>
        </w:rPr>
        <w:t>martin.kirchmayr@tgw</w:t>
      </w:r>
      <w:proofErr w:type="gramEnd"/>
      <w:r>
        <w:rPr>
          <w:lang w:val="en-GB"/>
        </w:rPr>
        <w:t>-group.com</w:t>
      </w:r>
    </w:p>
    <w:p w14:paraId="475533C2" w14:textId="77777777" w:rsidR="004C1432" w:rsidRPr="009B79A8" w:rsidRDefault="004C1432" w:rsidP="001B3E4D">
      <w:pPr>
        <w:spacing w:before="120" w:after="240"/>
        <w:ind w:right="1837"/>
        <w:rPr>
          <w:lang w:val="en-GB"/>
        </w:rPr>
      </w:pPr>
    </w:p>
    <w:sectPr w:rsidR="004C1432" w:rsidRPr="009B79A8" w:rsidSect="00193DF6">
      <w:headerReference w:type="default" r:id="rId11"/>
      <w:footerReference w:type="default" r:id="rId12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ED0F0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3118E" w14:textId="77777777" w:rsidR="00F947BE" w:rsidRDefault="00F947BE" w:rsidP="00764006">
      <w:pPr>
        <w:spacing w:line="240" w:lineRule="auto"/>
      </w:pPr>
      <w:r>
        <w:separator/>
      </w:r>
    </w:p>
  </w:endnote>
  <w:endnote w:type="continuationSeparator" w:id="0">
    <w:p w14:paraId="6DB9B022" w14:textId="77777777" w:rsidR="00F947BE" w:rsidRDefault="00F947BE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F947BE" w:rsidRPr="00252CD7" w14:paraId="6624F29C" w14:textId="77777777" w:rsidTr="00C15D91">
      <w:tc>
        <w:tcPr>
          <w:tcW w:w="6474" w:type="dxa"/>
        </w:tcPr>
        <w:p w14:paraId="2B05B73E" w14:textId="77777777" w:rsidR="00F947BE" w:rsidRPr="00252CD7" w:rsidRDefault="00F947BE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553945A" w14:textId="77777777" w:rsidR="00F947BE" w:rsidRPr="00252CD7" w:rsidRDefault="00F947BE" w:rsidP="007D0E42">
          <w:pPr>
            <w:pStyle w:val="Footer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26EF778" w14:textId="77777777" w:rsidR="00F947BE" w:rsidRPr="00252CD7" w:rsidRDefault="00F947BE" w:rsidP="007D0E42">
          <w:pPr>
            <w:pStyle w:val="Footer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61887F8" w14:textId="69B061BE" w:rsidR="00F947BE" w:rsidRPr="00252CD7" w:rsidRDefault="00F947BE" w:rsidP="00252CD7">
          <w:pPr>
            <w:pStyle w:val="FuzeileFirmendaten"/>
            <w:rPr>
              <w:sz w:val="16"/>
            </w:rPr>
          </w:pPr>
          <w:fldSimple w:instr=" NUMPAGES   \* MERGEFORMAT ">
            <w:r w:rsidR="00E705EE" w:rsidRPr="00E705EE">
              <w:rPr>
                <w:noProof/>
                <w:sz w:val="16"/>
              </w:rPr>
              <w:t>4</w:t>
            </w:r>
          </w:fldSimple>
          <w:r>
            <w:rPr>
              <w:sz w:val="16"/>
            </w:rPr>
            <w:t xml:space="preserve"> / </w:t>
          </w:r>
        </w:p>
      </w:tc>
    </w:tr>
  </w:tbl>
  <w:p w14:paraId="327C2962" w14:textId="77777777" w:rsidR="00F947BE" w:rsidRDefault="00F947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A0C99" w14:textId="77777777" w:rsidR="00F947BE" w:rsidRDefault="00F947BE" w:rsidP="00764006">
      <w:pPr>
        <w:spacing w:line="240" w:lineRule="auto"/>
      </w:pPr>
      <w:r>
        <w:separator/>
      </w:r>
    </w:p>
  </w:footnote>
  <w:footnote w:type="continuationSeparator" w:id="0">
    <w:p w14:paraId="74679F04" w14:textId="77777777" w:rsidR="00F947BE" w:rsidRDefault="00F947BE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BD697" w14:textId="77777777" w:rsidR="00F947BE" w:rsidRDefault="00F947BE" w:rsidP="00764006">
    <w:pPr>
      <w:pStyle w:val="Header"/>
      <w:jc w:val="right"/>
    </w:pPr>
    <w:r>
      <w:br/>
    </w:r>
  </w:p>
  <w:p w14:paraId="39F41A20" w14:textId="50D64A9E" w:rsidR="00F947BE" w:rsidRPr="00C15D91" w:rsidRDefault="00F947BE" w:rsidP="00C00CC7">
    <w:pPr>
      <w:pStyle w:val="Dokumententitel"/>
    </w:pPr>
    <w:r>
      <w:rPr>
        <w:lang w:val="en-US" w:eastAsia="en-US"/>
      </w:rPr>
      <w:drawing>
        <wp:anchor distT="0" distB="0" distL="114300" distR="114300" simplePos="0" relativeHeight="251658240" behindDoc="0" locked="0" layoutInCell="1" allowOverlap="1" wp14:anchorId="6179A756" wp14:editId="131581B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Information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44C"/>
    <w:multiLevelType w:val="hybridMultilevel"/>
    <w:tmpl w:val="8464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E10C26"/>
    <w:multiLevelType w:val="multilevel"/>
    <w:tmpl w:val="A1165E8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color w:val="000000"/>
        <w:u w:val="none" w:color="A8ADAD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576066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chmayr Martin">
    <w15:presenceInfo w15:providerId="AD" w15:userId="S-1-5-21-2559878301-2761995165-1220816646-25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155F8"/>
    <w:rsid w:val="000303FD"/>
    <w:rsid w:val="0006348C"/>
    <w:rsid w:val="00064DC5"/>
    <w:rsid w:val="0006732E"/>
    <w:rsid w:val="000A0230"/>
    <w:rsid w:val="000A490F"/>
    <w:rsid w:val="000E286C"/>
    <w:rsid w:val="000F7C7A"/>
    <w:rsid w:val="000F7D85"/>
    <w:rsid w:val="00100379"/>
    <w:rsid w:val="00102B91"/>
    <w:rsid w:val="00125EC7"/>
    <w:rsid w:val="00152BD4"/>
    <w:rsid w:val="0017018E"/>
    <w:rsid w:val="001708E2"/>
    <w:rsid w:val="00181531"/>
    <w:rsid w:val="00183096"/>
    <w:rsid w:val="00193DF6"/>
    <w:rsid w:val="001A6670"/>
    <w:rsid w:val="001B3E4D"/>
    <w:rsid w:val="001C2FB5"/>
    <w:rsid w:val="001E7058"/>
    <w:rsid w:val="001F5208"/>
    <w:rsid w:val="001F70A5"/>
    <w:rsid w:val="0022263C"/>
    <w:rsid w:val="00222B47"/>
    <w:rsid w:val="00252CD7"/>
    <w:rsid w:val="0025635E"/>
    <w:rsid w:val="0026487A"/>
    <w:rsid w:val="00271F96"/>
    <w:rsid w:val="00274C13"/>
    <w:rsid w:val="00277AF6"/>
    <w:rsid w:val="00292EE3"/>
    <w:rsid w:val="002A0083"/>
    <w:rsid w:val="002B70FC"/>
    <w:rsid w:val="002C3AE4"/>
    <w:rsid w:val="002C75A1"/>
    <w:rsid w:val="002E621E"/>
    <w:rsid w:val="00307422"/>
    <w:rsid w:val="00315460"/>
    <w:rsid w:val="00356DAA"/>
    <w:rsid w:val="003572A1"/>
    <w:rsid w:val="00393552"/>
    <w:rsid w:val="003A0064"/>
    <w:rsid w:val="003A1ED7"/>
    <w:rsid w:val="003A2448"/>
    <w:rsid w:val="003A5294"/>
    <w:rsid w:val="003B0DEC"/>
    <w:rsid w:val="003B6B43"/>
    <w:rsid w:val="003E39D6"/>
    <w:rsid w:val="004504BF"/>
    <w:rsid w:val="00450B34"/>
    <w:rsid w:val="00452B1B"/>
    <w:rsid w:val="00454D03"/>
    <w:rsid w:val="00460E17"/>
    <w:rsid w:val="004700C3"/>
    <w:rsid w:val="00470B0F"/>
    <w:rsid w:val="004723D9"/>
    <w:rsid w:val="004B32AF"/>
    <w:rsid w:val="004C1432"/>
    <w:rsid w:val="004D3218"/>
    <w:rsid w:val="004D7BB5"/>
    <w:rsid w:val="004F72B7"/>
    <w:rsid w:val="005219FF"/>
    <w:rsid w:val="005278C0"/>
    <w:rsid w:val="00532EC1"/>
    <w:rsid w:val="0054039D"/>
    <w:rsid w:val="00552AF7"/>
    <w:rsid w:val="00561079"/>
    <w:rsid w:val="00587E73"/>
    <w:rsid w:val="005A79BA"/>
    <w:rsid w:val="005B517D"/>
    <w:rsid w:val="005C1621"/>
    <w:rsid w:val="005E6654"/>
    <w:rsid w:val="00600225"/>
    <w:rsid w:val="0060432C"/>
    <w:rsid w:val="00605A4E"/>
    <w:rsid w:val="006118EE"/>
    <w:rsid w:val="006157D6"/>
    <w:rsid w:val="006225BA"/>
    <w:rsid w:val="00624B52"/>
    <w:rsid w:val="00625B24"/>
    <w:rsid w:val="00636E6E"/>
    <w:rsid w:val="0067046F"/>
    <w:rsid w:val="006C7F31"/>
    <w:rsid w:val="006E786A"/>
    <w:rsid w:val="00714973"/>
    <w:rsid w:val="007502BB"/>
    <w:rsid w:val="00764006"/>
    <w:rsid w:val="00774870"/>
    <w:rsid w:val="007903B8"/>
    <w:rsid w:val="0079196A"/>
    <w:rsid w:val="00791EC3"/>
    <w:rsid w:val="0079683C"/>
    <w:rsid w:val="007B5207"/>
    <w:rsid w:val="007B5B3A"/>
    <w:rsid w:val="007D0E42"/>
    <w:rsid w:val="007E33BD"/>
    <w:rsid w:val="007F47DB"/>
    <w:rsid w:val="008342EA"/>
    <w:rsid w:val="008439CD"/>
    <w:rsid w:val="00845FEB"/>
    <w:rsid w:val="00865F37"/>
    <w:rsid w:val="008737FF"/>
    <w:rsid w:val="00880D92"/>
    <w:rsid w:val="008C2085"/>
    <w:rsid w:val="008C62E5"/>
    <w:rsid w:val="008E1BFC"/>
    <w:rsid w:val="00900F4D"/>
    <w:rsid w:val="00911110"/>
    <w:rsid w:val="009262ED"/>
    <w:rsid w:val="009272A0"/>
    <w:rsid w:val="00930970"/>
    <w:rsid w:val="00953D37"/>
    <w:rsid w:val="009652D8"/>
    <w:rsid w:val="00965826"/>
    <w:rsid w:val="00983B50"/>
    <w:rsid w:val="009860EB"/>
    <w:rsid w:val="00992E31"/>
    <w:rsid w:val="0099409F"/>
    <w:rsid w:val="00996B03"/>
    <w:rsid w:val="009A12A0"/>
    <w:rsid w:val="009A35C6"/>
    <w:rsid w:val="009B79A8"/>
    <w:rsid w:val="009D14C2"/>
    <w:rsid w:val="009F7BA4"/>
    <w:rsid w:val="00A06152"/>
    <w:rsid w:val="00A06F83"/>
    <w:rsid w:val="00A10D9F"/>
    <w:rsid w:val="00A25CF4"/>
    <w:rsid w:val="00A30303"/>
    <w:rsid w:val="00A34681"/>
    <w:rsid w:val="00A41121"/>
    <w:rsid w:val="00A526D6"/>
    <w:rsid w:val="00A52A37"/>
    <w:rsid w:val="00A65137"/>
    <w:rsid w:val="00A750FB"/>
    <w:rsid w:val="00A81890"/>
    <w:rsid w:val="00A849D4"/>
    <w:rsid w:val="00AA7145"/>
    <w:rsid w:val="00AC2F90"/>
    <w:rsid w:val="00AD3796"/>
    <w:rsid w:val="00B03B65"/>
    <w:rsid w:val="00B10DA6"/>
    <w:rsid w:val="00B365DD"/>
    <w:rsid w:val="00B422A2"/>
    <w:rsid w:val="00B446B3"/>
    <w:rsid w:val="00B5267B"/>
    <w:rsid w:val="00B56A9C"/>
    <w:rsid w:val="00B57085"/>
    <w:rsid w:val="00B57511"/>
    <w:rsid w:val="00B63D2F"/>
    <w:rsid w:val="00B674F4"/>
    <w:rsid w:val="00B80C77"/>
    <w:rsid w:val="00B81268"/>
    <w:rsid w:val="00BD5A2A"/>
    <w:rsid w:val="00BF05C4"/>
    <w:rsid w:val="00C001F7"/>
    <w:rsid w:val="00C00CC7"/>
    <w:rsid w:val="00C15D91"/>
    <w:rsid w:val="00C36CA3"/>
    <w:rsid w:val="00C4134D"/>
    <w:rsid w:val="00CA034C"/>
    <w:rsid w:val="00CA3747"/>
    <w:rsid w:val="00CB569D"/>
    <w:rsid w:val="00CC55C1"/>
    <w:rsid w:val="00D01B62"/>
    <w:rsid w:val="00D03E62"/>
    <w:rsid w:val="00D17FF2"/>
    <w:rsid w:val="00D37502"/>
    <w:rsid w:val="00D55EDC"/>
    <w:rsid w:val="00D619B3"/>
    <w:rsid w:val="00D65D40"/>
    <w:rsid w:val="00D70202"/>
    <w:rsid w:val="00D8757B"/>
    <w:rsid w:val="00D90DAC"/>
    <w:rsid w:val="00DA253F"/>
    <w:rsid w:val="00DA5B1B"/>
    <w:rsid w:val="00DB5875"/>
    <w:rsid w:val="00DD2CB5"/>
    <w:rsid w:val="00DD417D"/>
    <w:rsid w:val="00DD7D1E"/>
    <w:rsid w:val="00E131CE"/>
    <w:rsid w:val="00E21CBA"/>
    <w:rsid w:val="00E21D57"/>
    <w:rsid w:val="00E264FE"/>
    <w:rsid w:val="00E465CD"/>
    <w:rsid w:val="00E5322C"/>
    <w:rsid w:val="00E55CEF"/>
    <w:rsid w:val="00E705EE"/>
    <w:rsid w:val="00E77A32"/>
    <w:rsid w:val="00EA50A1"/>
    <w:rsid w:val="00EC3B7D"/>
    <w:rsid w:val="00ED3142"/>
    <w:rsid w:val="00ED707A"/>
    <w:rsid w:val="00EE4F38"/>
    <w:rsid w:val="00EF7368"/>
    <w:rsid w:val="00F16BF1"/>
    <w:rsid w:val="00F20583"/>
    <w:rsid w:val="00F60437"/>
    <w:rsid w:val="00F609CC"/>
    <w:rsid w:val="00F6247B"/>
    <w:rsid w:val="00F947BE"/>
    <w:rsid w:val="00FA5EB3"/>
    <w:rsid w:val="00FE00F8"/>
    <w:rsid w:val="00FE2E8B"/>
    <w:rsid w:val="00FE44D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373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C15D91"/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C15D91"/>
    <w:rPr>
      <w:rFonts w:ascii="Arial" w:hAnsi="Arial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Normal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DefaultParagraphFon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Normal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DefaultParagraphFont"/>
    <w:link w:val="Adresse"/>
    <w:rsid w:val="00B56A9C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Paragraph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ParagraphChar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Header"/>
    <w:link w:val="DokumententitelZchn"/>
    <w:qFormat/>
    <w:rsid w:val="00C00CC7"/>
    <w:rPr>
      <w:noProof/>
      <w:color w:val="C00418" w:themeColor="accent1"/>
      <w:sz w:val="48"/>
    </w:rPr>
  </w:style>
  <w:style w:type="character" w:styleId="Strong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HeaderChar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styleId="Emphasis">
    <w:name w:val="Emphasis"/>
    <w:basedOn w:val="DefaultParagraphFont"/>
    <w:uiPriority w:val="20"/>
    <w:qFormat/>
    <w:rsid w:val="00552AF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6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48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48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48C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652D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C15D91"/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C15D91"/>
    <w:rPr>
      <w:rFonts w:ascii="Arial" w:hAnsi="Arial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Normal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DefaultParagraphFon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Normal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DefaultParagraphFont"/>
    <w:link w:val="Adresse"/>
    <w:rsid w:val="00B56A9C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Paragraph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ParagraphChar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Header"/>
    <w:link w:val="DokumententitelZchn"/>
    <w:qFormat/>
    <w:rsid w:val="00C00CC7"/>
    <w:rPr>
      <w:noProof/>
      <w:color w:val="C00418" w:themeColor="accent1"/>
      <w:sz w:val="48"/>
    </w:rPr>
  </w:style>
  <w:style w:type="character" w:styleId="Strong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HeaderChar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styleId="Emphasis">
    <w:name w:val="Emphasis"/>
    <w:basedOn w:val="DefaultParagraphFont"/>
    <w:uiPriority w:val="20"/>
    <w:qFormat/>
    <w:rsid w:val="00552AF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6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48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48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48C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652D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tgw-group.com" TargetMode="External"/><Relationship Id="rId26" Type="http://schemas.microsoft.com/office/2011/relationships/people" Target="people.xml"/><Relationship Id="rId25" Type="http://schemas.microsoft.com/office/2011/relationships/commentsExtended" Target="commentsExtended.xml"/><Relationship Id="rId10" Type="http://schemas.openxmlformats.org/officeDocument/2006/relationships/hyperlink" Target="mailto:andy.lockhart@tgw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B147-CB4D-D645-9C4C-A98937F9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904</Words>
  <Characters>5153</Characters>
  <Application>Microsoft Macintosh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Sara Specter</cp:lastModifiedBy>
  <cp:revision>10</cp:revision>
  <cp:lastPrinted>2015-06-02T08:02:00Z</cp:lastPrinted>
  <dcterms:created xsi:type="dcterms:W3CDTF">2017-06-27T22:41:00Z</dcterms:created>
  <dcterms:modified xsi:type="dcterms:W3CDTF">2017-06-28T02:56:00Z</dcterms:modified>
</cp:coreProperties>
</file>