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EAD45" w14:textId="2EDA41A9" w:rsidR="00C5224D" w:rsidRPr="004A48ED" w:rsidRDefault="004A48ED" w:rsidP="004A48ED">
      <w:pPr>
        <w:spacing w:before="120" w:after="240"/>
        <w:ind w:right="1835"/>
        <w:rPr>
          <w:b/>
          <w:sz w:val="28"/>
          <w:szCs w:val="20"/>
        </w:rPr>
      </w:pPr>
      <w:r>
        <w:rPr>
          <w:b/>
          <w:sz w:val="28"/>
          <w:szCs w:val="20"/>
        </w:rPr>
        <w:t xml:space="preserve">Intralogistical duet: Joint melodies of Musikhaus Thomann and TGW</w:t>
      </w:r>
    </w:p>
    <w:p w14:paraId="716198F2" w14:textId="15054EF6" w:rsidR="004A48ED" w:rsidRPr="00C8198B" w:rsidRDefault="00C8198B" w:rsidP="004A48ED">
      <w:pPr>
        <w:spacing w:before="120" w:after="240"/>
        <w:ind w:right="1835"/>
        <w:rPr>
          <w:b/>
          <w:szCs w:val="20"/>
        </w:rPr>
      </w:pPr>
      <w:r>
        <w:rPr>
          <w:b/>
          <w:szCs w:val="20"/>
        </w:rPr>
        <w:t xml:space="preserve">After debuting in 2009 and further intralogistical duets throughout the years, there will now be a new edition of Thomann's and TGW's common success.</w:t>
      </w:r>
      <w:r>
        <w:rPr>
          <w:b/>
          <w:szCs w:val="20"/>
        </w:rPr>
        <w:t xml:space="preserve"> </w:t>
      </w:r>
      <w:r>
        <w:rPr>
          <w:b/>
          <w:szCs w:val="20"/>
        </w:rPr>
        <w:t xml:space="preserve">A comprehensive expansion of the existing logistics centre at their headquarters in Burgebrach in Germany will support Thomann in their future e-commerce strategy as from 2018.</w:t>
      </w:r>
      <w:r>
        <w:rPr>
          <w:b/>
          <w:szCs w:val="20"/>
        </w:rPr>
        <w:t xml:space="preserve"> </w:t>
      </w:r>
      <w:bookmarkStart w:id="0" w:name="_GoBack"/>
      <w:bookmarkEnd w:id="0"/>
    </w:p>
    <w:p w14:paraId="4A5151A2" w14:textId="293E3FAE" w:rsidR="00D70DA1" w:rsidRDefault="00C8198B" w:rsidP="004A48ED">
      <w:pPr>
        <w:spacing w:before="120" w:after="240"/>
        <w:ind w:right="1835"/>
        <w:rPr>
          <w:szCs w:val="20"/>
        </w:rPr>
      </w:pPr>
      <w:r>
        <w:rPr>
          <w:szCs w:val="20"/>
        </w:rPr>
        <w:t xml:space="preserve">Only recently, the family owned company Musikhaus Thomann was nominated best online shop by the business magazine "brand eins".</w:t>
      </w:r>
      <w:r>
        <w:rPr>
          <w:szCs w:val="20"/>
        </w:rPr>
        <w:t xml:space="preserve"> </w:t>
      </w:r>
      <w:r>
        <w:rPr>
          <w:szCs w:val="20"/>
        </w:rPr>
        <w:t xml:space="preserve">The all-important growth factor e-commerce in logistics has been a longtime intimate of Thomann.</w:t>
      </w:r>
      <w:r>
        <w:rPr>
          <w:szCs w:val="20"/>
        </w:rPr>
        <w:t xml:space="preserve"> </w:t>
      </w:r>
      <w:r>
        <w:rPr>
          <w:szCs w:val="20"/>
        </w:rPr>
        <w:t xml:space="preserve">Together with TGW, a new, comprehensive logistics centre will be constructed that will moreover integrate the existing installation from 2009 into the processes and lift it at the same time to state-of-the-art technology.</w:t>
      </w:r>
      <w:r>
        <w:rPr>
          <w:szCs w:val="20"/>
        </w:rPr>
        <w:t xml:space="preserve"> </w:t>
      </w:r>
    </w:p>
    <w:p w14:paraId="1C888807" w14:textId="27A18F96" w:rsidR="00913965" w:rsidRPr="00913965" w:rsidRDefault="00913965" w:rsidP="004A48ED">
      <w:pPr>
        <w:spacing w:before="120" w:after="240"/>
        <w:ind w:right="1835"/>
        <w:rPr>
          <w:b/>
          <w:szCs w:val="20"/>
        </w:rPr>
      </w:pPr>
      <w:r>
        <w:rPr>
          <w:b/>
          <w:szCs w:val="20"/>
        </w:rPr>
        <w:t xml:space="preserve">Seven million customers play along</w:t>
      </w:r>
    </w:p>
    <w:p w14:paraId="5D6F4F3E" w14:textId="15FCB35D" w:rsidR="00C5224D" w:rsidRDefault="00913965" w:rsidP="004A48ED">
      <w:pPr>
        <w:spacing w:before="120" w:after="240"/>
        <w:ind w:right="1835"/>
        <w:rPr>
          <w:szCs w:val="20"/>
        </w:rPr>
      </w:pPr>
      <w:r>
        <w:rPr>
          <w:szCs w:val="20"/>
        </w:rPr>
        <w:t xml:space="preserve">Thomann attach great importance to their customers which is why service has top priority.</w:t>
      </w:r>
      <w:r>
        <w:rPr>
          <w:szCs w:val="20"/>
        </w:rPr>
        <w:t xml:space="preserve"> </w:t>
      </w:r>
      <w:r>
        <w:rPr>
          <w:szCs w:val="20"/>
        </w:rPr>
        <w:t xml:space="preserve">The music expert is now investing about 27 million Euros into its intralogistics to supply the seven million customers throughout Europe the fastest possible way.</w:t>
      </w:r>
      <w:r>
        <w:rPr>
          <w:szCs w:val="20"/>
        </w:rPr>
        <w:t xml:space="preserve"> </w:t>
      </w:r>
      <w:r>
        <w:rPr>
          <w:szCs w:val="20"/>
        </w:rPr>
        <w:t xml:space="preserve">Furthermore, running operation will not be interrupted during construction.</w:t>
      </w:r>
      <w:r>
        <w:rPr>
          <w:szCs w:val="20"/>
        </w:rPr>
        <w:t xml:space="preserve"> </w:t>
      </w:r>
      <w:r>
        <w:rPr>
          <w:szCs w:val="20"/>
        </w:rPr>
        <w:t xml:space="preserve">Commissioning will be executed in steps until August 2018.</w:t>
      </w:r>
    </w:p>
    <w:p w14:paraId="301078A4" w14:textId="0403494D" w:rsidR="00913965" w:rsidRPr="00EE0258" w:rsidRDefault="00EE0258" w:rsidP="004A48ED">
      <w:pPr>
        <w:spacing w:before="120" w:after="240"/>
        <w:ind w:right="1835"/>
        <w:rPr>
          <w:b/>
          <w:szCs w:val="20"/>
        </w:rPr>
      </w:pPr>
      <w:r>
        <w:rPr>
          <w:b/>
          <w:szCs w:val="20"/>
        </w:rPr>
        <w:t xml:space="preserve">Up-beat for ready-for-stage performance</w:t>
      </w:r>
    </w:p>
    <w:p w14:paraId="123FDFD5" w14:textId="0D0A3FAD" w:rsidR="00C5224D" w:rsidRDefault="00C5224D" w:rsidP="004A48ED">
      <w:pPr>
        <w:spacing w:before="120" w:after="240"/>
        <w:ind w:right="1835"/>
        <w:rPr>
          <w:szCs w:val="20"/>
        </w:rPr>
      </w:pPr>
      <w:r>
        <w:rPr>
          <w:szCs w:val="20"/>
        </w:rPr>
        <w:t xml:space="preserve">Core of the new logistics centre is a TGW STINGRAY shuttle warehouse with six aisles and 110,000 storage locations on 25 levels.</w:t>
      </w:r>
      <w:r>
        <w:rPr>
          <w:szCs w:val="20"/>
        </w:rPr>
        <w:t xml:space="preserve"> </w:t>
      </w:r>
      <w:r>
        <w:rPr>
          <w:szCs w:val="20"/>
        </w:rPr>
        <w:t xml:space="preserve">It will be complemented by an automated carton warehouse with five aisles where guitars, e-pianos and other music equipment of a size up to 1.55 metres will be stored.</w:t>
      </w:r>
      <w:r>
        <w:rPr>
          <w:szCs w:val="20"/>
        </w:rPr>
        <w:t xml:space="preserve"> </w:t>
      </w:r>
      <w:r>
        <w:rPr>
          <w:szCs w:val="20"/>
        </w:rPr>
        <w:t xml:space="preserve">The goods in the distribution centre will be transported on KingDrive</w:t>
      </w:r>
      <w:r>
        <w:rPr>
          <w:szCs w:val="20"/>
          <w:vertAlign w:val="superscript"/>
        </w:rPr>
        <w:t xml:space="preserve">®</w:t>
      </w:r>
      <w:r>
        <w:rPr>
          <w:szCs w:val="20"/>
        </w:rPr>
        <w:t xml:space="preserve"> conveyor technology that counts for efficient use of energy and particular ease of maintenance.</w:t>
      </w:r>
      <w:r>
        <w:rPr>
          <w:szCs w:val="20"/>
        </w:rPr>
        <w:t xml:space="preserve"> </w:t>
      </w:r>
    </w:p>
    <w:p w14:paraId="377AADD8" w14:textId="4A8C94A6" w:rsidR="00C5224D" w:rsidRDefault="00993524" w:rsidP="004A48ED">
      <w:pPr>
        <w:spacing w:before="120" w:after="240"/>
        <w:ind w:right="1835"/>
        <w:rPr>
          <w:szCs w:val="20"/>
        </w:rPr>
      </w:pPr>
      <w:r>
        <w:rPr>
          <w:szCs w:val="20"/>
        </w:rPr>
        <w:t xml:space="preserve">The shuttle system supplies the twelve pick and pack stations, picking will be made directly from the warehouse totes into shipping cartons of various sizes.</w:t>
      </w:r>
      <w:r>
        <w:rPr>
          <w:szCs w:val="20"/>
        </w:rPr>
        <w:t xml:space="preserve"> </w:t>
      </w:r>
      <w:r>
        <w:rPr>
          <w:szCs w:val="20"/>
        </w:rPr>
        <w:t xml:space="preserve">Upstream consolidation buffers additionally enable the timely consolidation of the SKUs from the various warehouse areas.</w:t>
      </w:r>
      <w:r>
        <w:rPr>
          <w:szCs w:val="20"/>
        </w:rPr>
        <w:t xml:space="preserve"> </w:t>
      </w:r>
      <w:r>
        <w:rPr>
          <w:szCs w:val="20"/>
        </w:rPr>
        <w:t xml:space="preserve">With the four new sequencer towers, goods from the existing warehouse and from the new logistics centre can be consolidated and then be packed for the end customer on the </w:t>
      </w:r>
      <w:r>
        <w:rPr>
          <w:szCs w:val="20"/>
        </w:rPr>
        <w:lastRenderedPageBreak/>
      </w:r>
      <w:r>
        <w:rPr>
          <w:szCs w:val="20"/>
        </w:rPr>
        <w:t xml:space="preserve">existing pack stations.</w:t>
      </w:r>
      <w:r>
        <w:rPr>
          <w:szCs w:val="20"/>
        </w:rPr>
        <w:t xml:space="preserve"> </w:t>
      </w:r>
      <w:r>
        <w:rPr>
          <w:szCs w:val="20"/>
        </w:rPr>
        <w:t xml:space="preserve">The TGW Software Suite completes TGW's scope of supply.</w:t>
      </w:r>
      <w:r>
        <w:rPr>
          <w:szCs w:val="20"/>
        </w:rPr>
        <w:t xml:space="preserve"> </w:t>
      </w:r>
    </w:p>
    <w:p w14:paraId="31ED5CAB" w14:textId="4AD270D9" w:rsidR="00EE0258" w:rsidRDefault="00EE0258" w:rsidP="004A48ED">
      <w:pPr>
        <w:spacing w:before="120" w:after="240"/>
        <w:ind w:right="1835"/>
        <w:rPr>
          <w:szCs w:val="20"/>
        </w:rPr>
      </w:pPr>
      <w:r>
        <w:rPr>
          <w:szCs w:val="20"/>
        </w:rPr>
        <w:t xml:space="preserve">After having realised the new distribution centre, the existing warehouse will also be reorganised with the modern TGW software.</w:t>
      </w:r>
      <w:r>
        <w:rPr>
          <w:szCs w:val="20"/>
        </w:rPr>
        <w:t xml:space="preserve"> </w:t>
      </w:r>
      <w:r>
        <w:rPr>
          <w:szCs w:val="20"/>
        </w:rPr>
        <w:t xml:space="preserve">In this way, all installations work with the same system and can intercommunicate smoothly.</w:t>
      </w:r>
      <w:r>
        <w:rPr>
          <w:szCs w:val="20"/>
        </w:rPr>
        <w:t xml:space="preserve"> </w:t>
      </w:r>
    </w:p>
    <w:p w14:paraId="786C0B89" w14:textId="4E2CACF1" w:rsidR="00C5224D" w:rsidRPr="00261341" w:rsidRDefault="00EE0258" w:rsidP="004A48ED">
      <w:pPr>
        <w:spacing w:before="120" w:after="240"/>
        <w:ind w:right="1835"/>
        <w:rPr>
          <w:szCs w:val="20"/>
        </w:rPr>
      </w:pPr>
      <w:r>
        <w:rPr>
          <w:szCs w:val="20"/>
        </w:rPr>
        <w:t xml:space="preserve">Hans Thomann, owner of Musikhaus Thomann: "We have the best and most loyal customers!" And TGW are happy as well: "We are allowed to support Thomann with our solution on their road to success.</w:t>
      </w:r>
      <w:r>
        <w:rPr>
          <w:szCs w:val="20"/>
        </w:rPr>
        <w:t xml:space="preserve"> </w:t>
      </w:r>
      <w:r>
        <w:rPr>
          <w:szCs w:val="20"/>
        </w:rPr>
        <w:t xml:space="preserve">In e-commerce business, the music expert is one of the most important model customers.</w:t>
      </w:r>
      <w:r>
        <w:rPr>
          <w:szCs w:val="20"/>
        </w:rPr>
        <w:t xml:space="preserve"> </w:t>
      </w:r>
      <w:r>
        <w:rPr>
          <w:szCs w:val="20"/>
        </w:rPr>
        <w:t xml:space="preserve">Based on the intensive and good cooperation during the past years, Thomann continue to rely on TGW and thus demonstrate that we are still the right partner," Markus Augeneder, Managing Director at TGW Systems Integration, is pleased about the customer's confidence.</w:t>
      </w:r>
      <w:r>
        <w:rPr>
          <w:szCs w:val="20"/>
        </w:rPr>
        <w:t xml:space="preserve"> </w:t>
      </w:r>
    </w:p>
    <w:p w14:paraId="6DB08FD2" w14:textId="77777777" w:rsidR="00697486" w:rsidRPr="00454A8C" w:rsidRDefault="008C221B" w:rsidP="004A48ED">
      <w:pPr>
        <w:spacing w:before="120" w:after="240"/>
        <w:ind w:right="1837"/>
        <w:rPr>
          <w:lang w:val="en-GB"/>
        </w:rPr>
      </w:pPr>
      <w:hyperlink r:id="rId8" w:history="1" w:tooltip="">
        <w:r>
          <w:rPr>
            <w:rStyle w:val="Hyperlink"/>
          </w:rPr>
          <w:t xml:space="preserve">www.tgw-group.com</w:t>
        </w:r>
      </w:hyperlink>
    </w:p>
    <w:p w14:paraId="2936578C" w14:textId="77777777" w:rsidR="009F0E5F" w:rsidRDefault="009F0E5F" w:rsidP="009F0E5F">
      <w:pPr>
        <w:spacing w:before="120" w:after="240"/>
        <w:ind w:right="1837"/>
        <w:rPr>
          <w:b/>
          <w:bCs/>
          <w:lang w:val="en-GB"/>
        </w:rPr>
      </w:pPr>
    </w:p>
    <w:p w14:paraId="62D8C46D" w14:textId="77777777" w:rsidR="009F0E5F" w:rsidRPr="00463369" w:rsidRDefault="009F0E5F" w:rsidP="009F0E5F">
      <w:pPr>
        <w:spacing w:before="240" w:after="120"/>
        <w:ind w:right="1837"/>
        <w:rPr>
          <w:b/>
          <w:lang w:val="en-GB"/>
        </w:rPr>
      </w:pPr>
      <w:r>
        <w:rPr>
          <w:b/>
        </w:rPr>
        <w:t xml:space="preserve">About TGW Logistics Group:</w:t>
      </w:r>
    </w:p>
    <w:p w14:paraId="30F485D4" w14:textId="77777777" w:rsidR="009F0E5F" w:rsidRPr="00703CC3" w:rsidRDefault="009F0E5F" w:rsidP="009F0E5F">
      <w:pPr>
        <w:spacing w:before="240" w:after="120"/>
        <w:ind w:right="1837"/>
      </w:pPr>
      <w: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2FBEF600" w14:textId="77777777" w:rsidR="009F0E5F" w:rsidRPr="00703CC3" w:rsidRDefault="009F0E5F" w:rsidP="009F0E5F">
      <w:pPr>
        <w:spacing w:before="240" w:after="120"/>
        <w:ind w:right="1837"/>
      </w:pPr>
      <w:r>
        <w:t xml:space="preserve">With about 2,500 employees worldwide by now, the Group implements logistics solutions for leading companies in various industries. In the business year 2014/15, the TGW Logistics Group generated sales revenues of 475 million Euros.</w:t>
      </w:r>
    </w:p>
    <w:p w14:paraId="4BF02BA0" w14:textId="77777777" w:rsidR="009F0E5F" w:rsidRPr="00703CC3" w:rsidRDefault="009F0E5F" w:rsidP="009F0E5F">
      <w:pPr>
        <w:spacing w:before="240" w:after="120"/>
        <w:ind w:right="1837"/>
        <w:rPr>
          <w:b/>
        </w:rPr>
      </w:pPr>
      <w:r>
        <w:rPr>
          <w:b/>
        </w:rPr>
        <w:t xml:space="preserve">Pictures:</w:t>
      </w:r>
    </w:p>
    <w:p w14:paraId="57C679DB" w14:textId="77777777" w:rsidR="009F0E5F" w:rsidRPr="00703CC3" w:rsidRDefault="009F0E5F" w:rsidP="009F0E5F">
      <w:pPr>
        <w:spacing w:before="240" w:after="120"/>
        <w:ind w:right="1837"/>
      </w:pPr>
      <w:r>
        <w:t xml:space="preserve">Reprint with reference to TGW Logistics Group GmbH free of charge. Reprint is not permitted for promotional purposes.</w:t>
      </w:r>
    </w:p>
    <w:p w14:paraId="7E1C39BF" w14:textId="77777777" w:rsidR="009F0E5F" w:rsidRDefault="009F0E5F" w:rsidP="009F0E5F">
      <w:pPr>
        <w:spacing w:before="240" w:after="120"/>
        <w:ind w:right="1837"/>
      </w:pPr>
    </w:p>
    <w:p w14:paraId="20073DFE" w14:textId="77777777" w:rsidR="003A03C1" w:rsidRDefault="003A03C1" w:rsidP="009F0E5F">
      <w:pPr>
        <w:spacing w:before="240" w:after="120"/>
        <w:ind w:right="1837"/>
      </w:pPr>
    </w:p>
    <w:p w14:paraId="50E2052D" w14:textId="77777777" w:rsidR="003A03C1" w:rsidRPr="00703CC3" w:rsidRDefault="003A03C1" w:rsidP="009F0E5F">
      <w:pPr>
        <w:spacing w:before="240" w:after="120"/>
        <w:ind w:right="1837"/>
      </w:pPr>
    </w:p>
    <w:p w14:paraId="1BE04528" w14:textId="77777777" w:rsidR="009F0E5F" w:rsidRPr="00703CC3" w:rsidRDefault="009F0E5F" w:rsidP="009F0E5F">
      <w:pPr>
        <w:spacing w:line="240" w:lineRule="auto"/>
        <w:ind w:right="418"/>
        <w:rPr>
          <w:b/>
        </w:rPr>
      </w:pPr>
      <w:r>
        <w:rPr>
          <w:b/>
        </w:rPr>
        <w:lastRenderedPageBreak/>
      </w:r>
      <w:r>
        <w:rPr>
          <w:b/>
        </w:rPr>
        <w:t xml:space="preserve">Contact:</w:t>
      </w:r>
    </w:p>
    <w:p w14:paraId="05C9D13F" w14:textId="77777777" w:rsidR="009F0E5F" w:rsidRPr="00703CC3" w:rsidRDefault="009F0E5F" w:rsidP="009F0E5F">
      <w:pPr>
        <w:spacing w:line="240" w:lineRule="auto"/>
        <w:ind w:right="418"/>
      </w:pPr>
      <w:r>
        <w:t xml:space="preserve">TGW Logistics Group GmbH</w:t>
      </w:r>
    </w:p>
    <w:p w14:paraId="2A6D1CD4" w14:textId="77777777" w:rsidR="009F0E5F" w:rsidRPr="00703CC3" w:rsidRDefault="009F0E5F" w:rsidP="009F0E5F">
      <w:pPr>
        <w:spacing w:line="240" w:lineRule="auto"/>
        <w:ind w:right="418"/>
      </w:pPr>
      <w:r>
        <w:t xml:space="preserve">4600 Wels, Collmannstraße 2, Austria</w:t>
      </w:r>
    </w:p>
    <w:p w14:paraId="36F7BAAC" w14:textId="77777777" w:rsidR="009F0E5F" w:rsidRPr="00703CC3" w:rsidRDefault="009F0E5F" w:rsidP="009F0E5F">
      <w:pPr>
        <w:spacing w:line="240" w:lineRule="auto"/>
        <w:ind w:right="418"/>
      </w:pPr>
      <w:r>
        <w:t xml:space="preserve">T: +43.7242.486-0</w:t>
      </w:r>
    </w:p>
    <w:p w14:paraId="58C1212A" w14:textId="77777777" w:rsidR="009F0E5F" w:rsidRPr="00703CC3" w:rsidRDefault="009F0E5F" w:rsidP="009F0E5F">
      <w:pPr>
        <w:spacing w:line="240" w:lineRule="auto"/>
        <w:ind w:right="418"/>
      </w:pPr>
      <w:r>
        <w:t xml:space="preserve">F: +43.7242.486-31</w:t>
      </w:r>
    </w:p>
    <w:p w14:paraId="04222972" w14:textId="77777777" w:rsidR="009F0E5F" w:rsidRPr="00703CC3" w:rsidRDefault="009F0E5F" w:rsidP="009F0E5F">
      <w:pPr>
        <w:spacing w:line="240" w:lineRule="auto"/>
        <w:ind w:right="418"/>
      </w:pPr>
      <w:r>
        <w:t xml:space="preserve">E-Mail: tgw@tgw-group.com</w:t>
      </w:r>
    </w:p>
    <w:p w14:paraId="2D9C9E15" w14:textId="77777777" w:rsidR="009F0E5F" w:rsidRPr="00703CC3" w:rsidRDefault="009F0E5F" w:rsidP="009F0E5F">
      <w:pPr>
        <w:spacing w:line="240" w:lineRule="auto"/>
        <w:ind w:right="418"/>
      </w:pPr>
    </w:p>
    <w:p w14:paraId="6C6950C9" w14:textId="77777777" w:rsidR="009F0E5F" w:rsidRPr="00703CC3" w:rsidRDefault="009F0E5F" w:rsidP="009F0E5F">
      <w:pPr>
        <w:spacing w:line="240" w:lineRule="auto"/>
        <w:ind w:right="418"/>
        <w:rPr>
          <w:b/>
        </w:rPr>
      </w:pPr>
      <w:r>
        <w:rPr>
          <w:b/>
        </w:rPr>
        <w:t xml:space="preserve">Press contact:</w:t>
      </w:r>
    </w:p>
    <w:p w14:paraId="1F4D21F6" w14:textId="35532ED5" w:rsidR="009F0E5F" w:rsidRPr="00703CC3" w:rsidRDefault="009F0E5F" w:rsidP="009F0E5F">
      <w:pPr>
        <w:spacing w:line="240" w:lineRule="auto"/>
        <w:ind w:right="418"/>
      </w:pPr>
      <w:r>
        <w:t xml:space="preserve">Martin Kirchmayr</w:t>
        <w:tab/>
        <w:tab/>
        <w:tab/>
        <w:tab/>
        <w:t xml:space="preserve">     Daniela Nowak</w:t>
      </w:r>
    </w:p>
    <w:p w14:paraId="6D1CA644" w14:textId="77777777" w:rsidR="009F0E5F" w:rsidRPr="00454A8C" w:rsidRDefault="009F0E5F" w:rsidP="009F0E5F">
      <w:pPr>
        <w:spacing w:line="240" w:lineRule="auto"/>
        <w:ind w:right="418"/>
        <w:rPr>
          <w:lang w:val="en-GB"/>
        </w:rPr>
      </w:pPr>
      <w:r>
        <w:t xml:space="preserve">Marketing &amp; Communication Manager</w:t>
        <w:tab/>
        <w:tab/>
        <w:t xml:space="preserve">Marketing &amp; Communication Specialist</w:t>
      </w:r>
    </w:p>
    <w:p w14:paraId="7F237EFA" w14:textId="77777777" w:rsidR="009F0E5F" w:rsidRPr="00454A8C" w:rsidRDefault="009F0E5F" w:rsidP="009F0E5F">
      <w:pPr>
        <w:spacing w:line="240" w:lineRule="auto"/>
        <w:ind w:right="418"/>
        <w:rPr>
          <w:lang w:val="en-GB"/>
        </w:rPr>
      </w:pPr>
      <w:r>
        <w:t xml:space="preserve">T: +43.(0)7242.486-1382</w:t>
        <w:tab/>
        <w:tab/>
        <w:tab/>
        <w:t xml:space="preserve">     T: +43.(0)7242.486-1059</w:t>
      </w:r>
    </w:p>
    <w:p w14:paraId="0FCB3BD4" w14:textId="77777777" w:rsidR="009F0E5F" w:rsidRPr="00454A8C" w:rsidRDefault="009F0E5F" w:rsidP="009F0E5F">
      <w:pPr>
        <w:spacing w:line="240" w:lineRule="auto"/>
        <w:ind w:right="418"/>
        <w:rPr>
          <w:lang w:val="en-GB"/>
        </w:rPr>
      </w:pPr>
      <w:r>
        <w:t xml:space="preserve">M: +43.(0)664.8187423</w:t>
      </w:r>
    </w:p>
    <w:p w14:paraId="02C2E300" w14:textId="77777777" w:rsidR="009F0E5F" w:rsidRPr="00454A8C" w:rsidRDefault="009F0E5F" w:rsidP="009F0E5F">
      <w:pPr>
        <w:spacing w:line="240" w:lineRule="auto"/>
        <w:ind w:right="418"/>
        <w:rPr>
          <w:lang w:val="en-GB"/>
        </w:rPr>
      </w:pPr>
      <w:r>
        <w:t xml:space="preserve">martin.kirchmayr@tgw-group.com</w:t>
        <w:tab/>
        <w:tab/>
        <w:t xml:space="preserve">daniela.nowak@tgw-group.com</w:t>
      </w:r>
    </w:p>
    <w:p w14:paraId="098B2635" w14:textId="77777777" w:rsidR="009F0E5F" w:rsidRPr="00454A8C" w:rsidRDefault="009F0E5F" w:rsidP="009F0E5F">
      <w:pPr>
        <w:spacing w:line="240" w:lineRule="auto"/>
        <w:ind w:right="1837"/>
        <w:rPr>
          <w:lang w:val="en-GB"/>
        </w:rPr>
      </w:pPr>
    </w:p>
    <w:p w14:paraId="3A45835E" w14:textId="77777777" w:rsidR="009F0E5F" w:rsidRPr="00454A8C" w:rsidRDefault="009F0E5F" w:rsidP="009F0E5F">
      <w:pPr>
        <w:pStyle w:val="StandardWeb"/>
        <w:shd w:val="clear" w:color="auto" w:fill="FFFFFF"/>
        <w:spacing w:before="120" w:beforeAutospacing="0" w:after="240" w:afterAutospacing="0" w:line="360" w:lineRule="auto"/>
        <w:rPr>
          <w:sz w:val="20"/>
          <w:szCs w:val="22"/>
          <w:lang w:val="en-GB"/>
        </w:rPr>
      </w:pPr>
    </w:p>
    <w:p w14:paraId="2A6DB210" w14:textId="77777777" w:rsidR="00FE44DF" w:rsidRPr="00454A8C" w:rsidRDefault="00FE44DF" w:rsidP="009F0E5F">
      <w:pPr>
        <w:spacing w:before="120" w:after="240"/>
        <w:ind w:right="1837"/>
        <w:rPr>
          <w:lang w:val="en-GB"/>
        </w:rPr>
      </w:pPr>
    </w:p>
    <w:sectPr w:rsidR="00FE44DF" w:rsidRPr="00454A8C" w:rsidSect="00193DF6">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080812" w14:textId="77777777" w:rsidR="005751C3" w:rsidRDefault="005751C3" w:rsidP="00764006">
      <w:pPr>
        <w:spacing w:line="240" w:lineRule="auto"/>
      </w:pPr>
      <w:r>
        <w:separator/>
      </w:r>
    </w:p>
  </w:endnote>
  <w:endnote w:type="continuationSeparator" w:id="0">
    <w:p w14:paraId="120D9DF4" w14:textId="77777777" w:rsidR="005751C3" w:rsidRDefault="005751C3"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ZShuTi">
    <w:panose1 w:val="02010601030101010101"/>
    <w:charset w:val="86"/>
    <w:family w:val="auto"/>
    <w:pitch w:val="variable"/>
    <w:sig w:usb0="00000003"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11932" w:rsidRPr="00252CD7" w14:paraId="01AEA15B" w14:textId="77777777" w:rsidTr="00C15D91">
      <w:tc>
        <w:tcPr>
          <w:tcW w:w="6474" w:type="dxa"/>
        </w:tcPr>
        <w:p w14:paraId="4D9E62B9" w14:textId="77777777" w:rsidR="00D11932" w:rsidRPr="00252CD7" w:rsidRDefault="00D11932" w:rsidP="00252CD7">
          <w:pPr>
            <w:pStyle w:val="FuzeileAdresse"/>
            <w:jc w:val="left"/>
            <w:rPr>
              <w:sz w:val="16"/>
            </w:rPr>
          </w:pPr>
          <w:r>
            <w:rPr>
              <w:sz w:val="16"/>
            </w:rPr>
            <w:t xml:space="preserve">TGW Logistics Group GmbH</w:t>
          </w:r>
        </w:p>
      </w:tc>
      <w:tc>
        <w:tcPr>
          <w:tcW w:w="283" w:type="dxa"/>
          <w:tcBorders>
            <w:right w:val="single" w:sz="12" w:space="0" w:color="C00418" w:themeColor="accent1"/>
          </w:tcBorders>
        </w:tcPr>
        <w:p w14:paraId="503E4074" w14:textId="77777777" w:rsidR="00D11932" w:rsidRPr="00252CD7" w:rsidRDefault="00D11932" w:rsidP="007D0E42">
          <w:pPr>
            <w:pStyle w:val="Fuzeile"/>
            <w:rPr>
              <w:sz w:val="16"/>
            </w:rPr>
          </w:pPr>
        </w:p>
      </w:tc>
      <w:tc>
        <w:tcPr>
          <w:tcW w:w="283" w:type="dxa"/>
          <w:tcBorders>
            <w:left w:val="single" w:sz="12" w:space="0" w:color="C00418" w:themeColor="accent1"/>
          </w:tcBorders>
        </w:tcPr>
        <w:p w14:paraId="7F3B7588" w14:textId="77777777" w:rsidR="00D11932" w:rsidRPr="00252CD7" w:rsidRDefault="00D11932" w:rsidP="007D0E42">
          <w:pPr>
            <w:pStyle w:val="Fuzeile"/>
            <w:rPr>
              <w:sz w:val="16"/>
            </w:rPr>
          </w:pPr>
        </w:p>
      </w:tc>
      <w:tc>
        <w:tcPr>
          <w:tcW w:w="2438" w:type="dxa"/>
          <w:vAlign w:val="center"/>
        </w:tcPr>
        <w:p w14:paraId="2718E8FB" w14:textId="77777777" w:rsidR="00D11932" w:rsidRPr="00252CD7" w:rsidRDefault="00D11932" w:rsidP="00252CD7">
          <w:pPr>
            <w:pStyle w:val="FuzeileFirmendaten"/>
            <w:rPr>
              <w:sz w:val="16"/>
            </w:rPr>
          </w:pPr>
          <w:r>
            <w:fldChar w:fldCharType="begin"/>
          </w:r>
          <w:r>
            <w:t xml:space="preserve"> PAGE   \* MERGEFORMAT </w:t>
          </w:r>
          <w:r>
            <w:fldChar w:fldCharType="separate"/>
          </w:r>
          <w:r>
            <w:rPr>
              <w:noProof/>
              <w:sz w:val="16"/>
            </w:rPr>
            <w:t xml:space="preserve">1</w:t>
          </w:r>
          <w:r>
            <w:fldChar w:fldCharType="end"/>
          </w:r>
          <w:r>
            <w:rPr>
              <w:sz w:val="16"/>
            </w:rPr>
            <w:t xml:space="preserve"> / </w:t>
          </w:r>
          <w:fldSimple w:instr=" NUMPAGES   \* MERGEFORMAT ">
            <w:r w:rsidR="008C221B" w:rsidRPr="008C221B">
              <w:rPr>
                <w:noProof/>
                <w:sz w:val="16"/>
              </w:rPr>
              <w:t>3</w:t>
            </w:r>
          </w:fldSimple>
        </w:p>
      </w:tc>
    </w:tr>
  </w:tbl>
  <w:p w14:paraId="2370CE11" w14:textId="77777777" w:rsidR="00D11932" w:rsidRDefault="00D1193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E2D4D" w14:textId="77777777" w:rsidR="005751C3" w:rsidRDefault="005751C3" w:rsidP="00764006">
      <w:pPr>
        <w:spacing w:line="240" w:lineRule="auto"/>
      </w:pPr>
      <w:r>
        <w:separator/>
      </w:r>
    </w:p>
  </w:footnote>
  <w:footnote w:type="continuationSeparator" w:id="0">
    <w:p w14:paraId="6189CCE9" w14:textId="77777777" w:rsidR="005751C3" w:rsidRDefault="005751C3"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3A7B24" w14:textId="77777777" w:rsidR="00D11932" w:rsidRDefault="00D11932" w:rsidP="00764006">
    <w:pPr>
      <w:pStyle w:val="Kopfzeile"/>
      <w:jc w:val="right"/>
    </w:pPr>
    <w:r>
      <w:br/>
    </w:r>
  </w:p>
  <w:p w14:paraId="0792E4C8" w14:textId="77777777" w:rsidR="00D11932" w:rsidRPr="00C15D91" w:rsidRDefault="00D11932" w:rsidP="00C00CC7">
    <w:pPr>
      <w:pStyle w:val="Dokumententitel"/>
    </w:pPr>
    <w:r>
      <w:drawing>
        <wp:anchor distT="0" distB="0" distL="114300" distR="114300" simplePos="0" relativeHeight="251658240" behindDoc="0" locked="0" layoutInCell="1" allowOverlap="1" wp14:anchorId="053EFEC6" wp14:editId="5CC0B30A">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4A0560D2"/>
    <w:multiLevelType w:val="hybridMultilevel"/>
    <w:tmpl w:val="1F648B1A"/>
    <w:lvl w:ilvl="0" w:tplc="CFC657C8">
      <w:numFmt w:val="bullet"/>
      <w:lvlText w:val="-"/>
      <w:lvlJc w:val="left"/>
      <w:pPr>
        <w:ind w:left="720" w:hanging="360"/>
      </w:pPr>
      <w:rPr>
        <w:rFonts w:ascii="Calibri" w:eastAsia="Calibri" w:hAnsi="Calibri"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nsid w:val="55A96AAA"/>
    <w:multiLevelType w:val="hybridMultilevel"/>
    <w:tmpl w:val="0A98E4BA"/>
    <w:lvl w:ilvl="0" w:tplc="2D129A54">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5"/>
    <w:lvlOverride w:ilvl="0">
      <w:startOverride w:val="1"/>
    </w:lvlOverride>
  </w:num>
  <w:num w:numId="3">
    <w:abstractNumId w:val="2"/>
  </w:num>
  <w:num w:numId="4">
    <w:abstractNumId w:val="6"/>
  </w:num>
  <w:num w:numId="5">
    <w:abstractNumId w:val="1"/>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97CF1"/>
    <w:rsid w:val="000A490F"/>
    <w:rsid w:val="000B5FAE"/>
    <w:rsid w:val="000F504C"/>
    <w:rsid w:val="000F7D85"/>
    <w:rsid w:val="00102B91"/>
    <w:rsid w:val="0010586A"/>
    <w:rsid w:val="0017018E"/>
    <w:rsid w:val="00183096"/>
    <w:rsid w:val="00193DF6"/>
    <w:rsid w:val="00197F40"/>
    <w:rsid w:val="001E7058"/>
    <w:rsid w:val="00222B47"/>
    <w:rsid w:val="00252CD7"/>
    <w:rsid w:val="0026426C"/>
    <w:rsid w:val="0026487A"/>
    <w:rsid w:val="00270603"/>
    <w:rsid w:val="00282374"/>
    <w:rsid w:val="00292EE3"/>
    <w:rsid w:val="00296885"/>
    <w:rsid w:val="002A1B9A"/>
    <w:rsid w:val="002B1D11"/>
    <w:rsid w:val="002C1107"/>
    <w:rsid w:val="003266F8"/>
    <w:rsid w:val="00333AF8"/>
    <w:rsid w:val="003572A1"/>
    <w:rsid w:val="00391499"/>
    <w:rsid w:val="003A03C1"/>
    <w:rsid w:val="003A2448"/>
    <w:rsid w:val="003C503C"/>
    <w:rsid w:val="003E4E0B"/>
    <w:rsid w:val="003F7AB5"/>
    <w:rsid w:val="00427D66"/>
    <w:rsid w:val="00445BE5"/>
    <w:rsid w:val="00450B34"/>
    <w:rsid w:val="00454A8C"/>
    <w:rsid w:val="00463369"/>
    <w:rsid w:val="00470B0F"/>
    <w:rsid w:val="00483B36"/>
    <w:rsid w:val="004A48ED"/>
    <w:rsid w:val="005278C0"/>
    <w:rsid w:val="005751C3"/>
    <w:rsid w:val="005815D9"/>
    <w:rsid w:val="005A779C"/>
    <w:rsid w:val="005C208F"/>
    <w:rsid w:val="005C4F37"/>
    <w:rsid w:val="006118EE"/>
    <w:rsid w:val="0061647C"/>
    <w:rsid w:val="006225BA"/>
    <w:rsid w:val="00697486"/>
    <w:rsid w:val="00703CC3"/>
    <w:rsid w:val="007502BB"/>
    <w:rsid w:val="00751448"/>
    <w:rsid w:val="00764006"/>
    <w:rsid w:val="007B5207"/>
    <w:rsid w:val="007D0E42"/>
    <w:rsid w:val="00820B46"/>
    <w:rsid w:val="008406BD"/>
    <w:rsid w:val="00865F37"/>
    <w:rsid w:val="008A2ECC"/>
    <w:rsid w:val="008C221B"/>
    <w:rsid w:val="008C62E5"/>
    <w:rsid w:val="009110D0"/>
    <w:rsid w:val="00911110"/>
    <w:rsid w:val="00913965"/>
    <w:rsid w:val="00953D37"/>
    <w:rsid w:val="00993524"/>
    <w:rsid w:val="009E1F97"/>
    <w:rsid w:val="009F0E5F"/>
    <w:rsid w:val="00A06F83"/>
    <w:rsid w:val="00A25CF4"/>
    <w:rsid w:val="00A36FEE"/>
    <w:rsid w:val="00A5134B"/>
    <w:rsid w:val="00A52A37"/>
    <w:rsid w:val="00AD1E04"/>
    <w:rsid w:val="00AD3796"/>
    <w:rsid w:val="00AF5532"/>
    <w:rsid w:val="00B03B65"/>
    <w:rsid w:val="00B422A2"/>
    <w:rsid w:val="00B56A9C"/>
    <w:rsid w:val="00B57511"/>
    <w:rsid w:val="00B677C6"/>
    <w:rsid w:val="00BF510E"/>
    <w:rsid w:val="00C00CC7"/>
    <w:rsid w:val="00C076BC"/>
    <w:rsid w:val="00C13B31"/>
    <w:rsid w:val="00C15D91"/>
    <w:rsid w:val="00C23C65"/>
    <w:rsid w:val="00C5224D"/>
    <w:rsid w:val="00C8198B"/>
    <w:rsid w:val="00C86129"/>
    <w:rsid w:val="00C87508"/>
    <w:rsid w:val="00CB2244"/>
    <w:rsid w:val="00CF287D"/>
    <w:rsid w:val="00D11932"/>
    <w:rsid w:val="00D42DC7"/>
    <w:rsid w:val="00D70DA1"/>
    <w:rsid w:val="00D90DAC"/>
    <w:rsid w:val="00DD417D"/>
    <w:rsid w:val="00E21CBA"/>
    <w:rsid w:val="00E21D57"/>
    <w:rsid w:val="00E34080"/>
    <w:rsid w:val="00E5322C"/>
    <w:rsid w:val="00E958F1"/>
    <w:rsid w:val="00E9766C"/>
    <w:rsid w:val="00EA50A1"/>
    <w:rsid w:val="00ED3142"/>
    <w:rsid w:val="00EE0258"/>
    <w:rsid w:val="00F234E8"/>
    <w:rsid w:val="00F52C5C"/>
    <w:rsid w:val="00F6247B"/>
    <w:rsid w:val="00F67890"/>
    <w:rsid w:val="00F75D82"/>
    <w:rsid w:val="00FE2E8B"/>
    <w:rsid w:val="00FE44DF"/>
    <w:rsid w:val="00FF445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39DB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AF5532"/>
    <w:pPr>
      <w:keepNext/>
      <w:keepLines/>
      <w:spacing w:before="480" w:after="120" w:line="276" w:lineRule="auto"/>
      <w:outlineLvl w:val="0"/>
    </w:pPr>
    <w:rPr>
      <w:rFonts w:eastAsia="FZShuTi" w:cs="Times New Roman"/>
      <w:b/>
      <w:bCs/>
      <w:sz w:val="3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berschrift1Zchn">
    <w:name w:val="Überschrift 1 Zchn"/>
    <w:basedOn w:val="Absatz-Standardschriftart"/>
    <w:link w:val="berschrift1"/>
    <w:uiPriority w:val="9"/>
    <w:rsid w:val="00AF5532"/>
    <w:rPr>
      <w:rFonts w:ascii="Arial" w:eastAsia="FZShuTi" w:hAnsi="Arial" w:cs="Times New Roman"/>
      <w:b/>
      <w:bCs/>
      <w:sz w:val="32"/>
      <w:szCs w:val="28"/>
    </w:rPr>
  </w:style>
  <w:style w:type="paragraph" w:styleId="StandardWeb">
    <w:name w:val="Normal (Web)"/>
    <w:basedOn w:val="Standard"/>
    <w:uiPriority w:val="99"/>
    <w:unhideWhenUsed/>
    <w:rsid w:val="009F0E5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81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593</Words>
  <Characters>3740</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Template_Brief</vt:lpstr>
      <vt:lpstr>Template_Brief</vt:lpstr>
    </vt:vector>
  </TitlesOfParts>
  <Company>TGW Group</Company>
  <LinksUpToDate>false</LinksUpToDate>
  <CharactersWithSpaces>4325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6</cp:revision>
  <cp:lastPrinted>2015-06-02T08:02:00Z</cp:lastPrinted>
  <dcterms:created xsi:type="dcterms:W3CDTF">2016-06-02T12:22:00Z</dcterms:created>
  <dcterms:modified xsi:type="dcterms:W3CDTF">2016-06-02T12:36:00Z</dcterms:modified>
</cp:coreProperties>
</file>