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09" w:rsidRDefault="005C2C09" w:rsidP="000013B6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</w:rPr>
      </w:pPr>
    </w:p>
    <w:p w:rsidR="000013B6" w:rsidRPr="00BA3EA6" w:rsidRDefault="00F36F69" w:rsidP="000013B6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  <w:r w:rsidRPr="00BA3EA6">
        <w:rPr>
          <w:rFonts w:ascii="Arial" w:eastAsiaTheme="minorHAnsi" w:hAnsi="Arial" w:cs="Arial"/>
          <w:b/>
          <w:sz w:val="28"/>
          <w:szCs w:val="28"/>
          <w:lang w:val="it-IT"/>
        </w:rPr>
        <w:t>Il know-how di TGW dà la spinta all'azienda specializzata in home electronic Jasco</w:t>
      </w:r>
    </w:p>
    <w:p w:rsidR="00EB2148" w:rsidRPr="00BA3EA6" w:rsidRDefault="00EB2148" w:rsidP="000013B6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</w:p>
    <w:p w:rsidR="008D6544" w:rsidRPr="00BA3EA6" w:rsidRDefault="00283786" w:rsidP="00EB2148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BA3EA6">
        <w:rPr>
          <w:rFonts w:ascii="Arial" w:eastAsiaTheme="minorHAnsi" w:hAnsi="Arial" w:cs="Arial"/>
          <w:b/>
          <w:lang w:val="it-IT"/>
        </w:rPr>
        <w:t>Un sistema ad alta automazione aumenta la produttività e migliora l'ergonomia per i collaboratori</w:t>
      </w:r>
    </w:p>
    <w:p w:rsidR="00EB2148" w:rsidRPr="00BA3EA6" w:rsidRDefault="00D0209C" w:rsidP="00EB2148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BA3EA6">
        <w:rPr>
          <w:rFonts w:ascii="Arial" w:eastAsiaTheme="minorHAnsi" w:hAnsi="Arial" w:cs="Arial"/>
          <w:b/>
          <w:lang w:val="it-IT"/>
        </w:rPr>
        <w:t xml:space="preserve">Il magazzino </w:t>
      </w:r>
      <w:r w:rsidR="00BA3EA6" w:rsidRPr="00BA3EA6">
        <w:rPr>
          <w:rFonts w:ascii="Arial" w:eastAsiaTheme="minorHAnsi" w:hAnsi="Arial" w:cs="Arial"/>
          <w:b/>
          <w:lang w:val="it-IT"/>
        </w:rPr>
        <w:t>co</w:t>
      </w:r>
      <w:r w:rsidR="00BA3EA6">
        <w:rPr>
          <w:rFonts w:ascii="Arial" w:eastAsiaTheme="minorHAnsi" w:hAnsi="Arial" w:cs="Arial"/>
          <w:b/>
          <w:lang w:val="it-IT"/>
        </w:rPr>
        <w:t xml:space="preserve">n </w:t>
      </w:r>
      <w:r w:rsidRPr="00BA3EA6">
        <w:rPr>
          <w:rFonts w:ascii="Arial" w:eastAsiaTheme="minorHAnsi" w:hAnsi="Arial" w:cs="Arial"/>
          <w:b/>
          <w:lang w:val="it-IT"/>
        </w:rPr>
        <w:t xml:space="preserve">quattro </w:t>
      </w:r>
      <w:r w:rsidR="00BA3EA6">
        <w:rPr>
          <w:rFonts w:ascii="Arial" w:eastAsiaTheme="minorHAnsi" w:hAnsi="Arial" w:cs="Arial"/>
          <w:b/>
          <w:lang w:val="it-IT"/>
        </w:rPr>
        <w:t xml:space="preserve">corsie </w:t>
      </w:r>
      <w:r w:rsidRPr="00BA3EA6">
        <w:rPr>
          <w:rFonts w:ascii="Arial" w:eastAsiaTheme="minorHAnsi" w:hAnsi="Arial" w:cs="Arial"/>
          <w:b/>
          <w:lang w:val="it-IT"/>
        </w:rPr>
        <w:t xml:space="preserve">shuttle è il cuore pulsante del sistema di order fulfillment </w:t>
      </w:r>
    </w:p>
    <w:p w:rsidR="006F31A0" w:rsidRPr="00BA3EA6" w:rsidRDefault="006D0FEB" w:rsidP="00EB2148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BA3EA6">
        <w:rPr>
          <w:rFonts w:ascii="Arial" w:eastAsiaTheme="minorHAnsi" w:hAnsi="Arial" w:cs="Arial"/>
          <w:b/>
          <w:lang w:val="it-IT"/>
        </w:rPr>
        <w:t>TGW Lifetime Services monitorano l'impianto nelle attività quotidiane</w:t>
      </w:r>
    </w:p>
    <w:p w:rsidR="00FC4947" w:rsidRPr="00BA3EA6" w:rsidRDefault="00FC4947" w:rsidP="000013B6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  <w:lang w:val="it-IT"/>
        </w:rPr>
      </w:pPr>
    </w:p>
    <w:p w:rsidR="006F31A0" w:rsidRPr="00BA3EA6" w:rsidRDefault="00947C50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A3EA6">
        <w:rPr>
          <w:rFonts w:ascii="Arial" w:hAnsi="Arial" w:cs="Arial"/>
          <w:b/>
          <w:sz w:val="20"/>
          <w:szCs w:val="20"/>
          <w:lang w:val="it-IT"/>
        </w:rPr>
        <w:t xml:space="preserve">(Marchtrenk, </w:t>
      </w:r>
      <w:r w:rsidR="005C2C09" w:rsidRPr="00BA3EA6">
        <w:rPr>
          <w:rFonts w:ascii="Arial" w:hAnsi="Arial" w:cs="Arial"/>
          <w:b/>
          <w:sz w:val="20"/>
          <w:szCs w:val="20"/>
          <w:lang w:val="it-IT"/>
        </w:rPr>
        <w:t>14</w:t>
      </w:r>
      <w:r w:rsidRPr="00BA3EA6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5C2C09" w:rsidRPr="00BA3EA6">
        <w:rPr>
          <w:rFonts w:ascii="Arial" w:hAnsi="Arial" w:cs="Arial"/>
          <w:b/>
          <w:sz w:val="20"/>
          <w:szCs w:val="20"/>
          <w:lang w:val="it-IT"/>
        </w:rPr>
        <w:t>giugno</w:t>
      </w:r>
      <w:r w:rsidRPr="00BA3EA6">
        <w:rPr>
          <w:rFonts w:ascii="Arial" w:hAnsi="Arial" w:cs="Arial"/>
          <w:b/>
          <w:sz w:val="20"/>
          <w:szCs w:val="20"/>
          <w:lang w:val="it-IT"/>
        </w:rPr>
        <w:t xml:space="preserve"> 2022) A fine aprile è avvenuto il go-live del nuovo fulfillment center nella sede di Oklahoma City dell'azienda statunitense specializzata in consumer electronics ed illuminazione. Insieme a Jasco hanno festeggiato la conclusione del progetto i partner di engineering e costruzione Burns &amp; McDonnell insieme agli esperti di intralogistica di TGW. Il sistema ad alta automazione aumenta la produttività in modo sostenibile e migliora l'ergonomia per i collaboratori. Inoltre contribuisce a sopperire alla crescente carenza di manodopera specializzata.</w:t>
      </w:r>
    </w:p>
    <w:p w:rsidR="006F31A0" w:rsidRPr="00BA3EA6" w:rsidRDefault="006F31A0" w:rsidP="00A50890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it-IT"/>
        </w:rPr>
      </w:pPr>
    </w:p>
    <w:p w:rsidR="00EB2148" w:rsidRPr="00BA3EA6" w:rsidRDefault="00D1479B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BA3EA6">
        <w:rPr>
          <w:rFonts w:ascii="Arial" w:hAnsi="Arial" w:cs="Arial"/>
          <w:sz w:val="20"/>
          <w:szCs w:val="20"/>
          <w:lang w:val="it-IT"/>
        </w:rPr>
        <w:t>Nei mesi scorsi TGW ha ampliato il fulfillment center esistente integrando un sistema ad alte prestazioni e già predisposto per implementazioni future. Con l'automatizzazione Jasco pone le basi della sua crescita negli anni a venire. Tutti i lavori si sono svolti con l'impianto in funzione al fine di continuare a garantire consegne affidabili ai clienti finali.</w:t>
      </w:r>
    </w:p>
    <w:p w:rsidR="002B0BFE" w:rsidRPr="00BA3EA6" w:rsidRDefault="002B0BFE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2B0BFE" w:rsidRPr="00BA3EA6" w:rsidRDefault="002B0BFE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A3EA6">
        <w:rPr>
          <w:rFonts w:ascii="Arial" w:hAnsi="Arial" w:cs="Arial"/>
          <w:b/>
          <w:sz w:val="20"/>
          <w:szCs w:val="20"/>
          <w:lang w:val="it-IT"/>
        </w:rPr>
        <w:t>Shuttle come cuore pulsante ad alte prestazioni</w:t>
      </w:r>
    </w:p>
    <w:p w:rsidR="002B0BFE" w:rsidRPr="00BA3EA6" w:rsidRDefault="002B0BFE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D96CDD" w:rsidRPr="00BA3EA6" w:rsidRDefault="002B0BFE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BA3EA6">
        <w:rPr>
          <w:rFonts w:ascii="Arial" w:hAnsi="Arial" w:cs="Arial"/>
          <w:sz w:val="20"/>
          <w:szCs w:val="20"/>
          <w:lang w:val="it-IT"/>
        </w:rPr>
        <w:t>I camion in entrata merci sono scaricati manualmente, poi le scatole sono trasferite al circuito di smistamento tramite il sistema di convoglia</w:t>
      </w:r>
      <w:r w:rsidR="00BA3EA6">
        <w:rPr>
          <w:rFonts w:ascii="Arial" w:hAnsi="Arial" w:cs="Arial"/>
          <w:sz w:val="20"/>
          <w:szCs w:val="20"/>
          <w:lang w:val="it-IT"/>
        </w:rPr>
        <w:t>tori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. I collaboratori impilano quindi </w:t>
      </w:r>
      <w:r w:rsidR="00BA3EA6" w:rsidRPr="00BA3EA6">
        <w:rPr>
          <w:rFonts w:ascii="Arial" w:hAnsi="Arial" w:cs="Arial"/>
          <w:sz w:val="20"/>
          <w:szCs w:val="20"/>
          <w:lang w:val="it-IT"/>
        </w:rPr>
        <w:t xml:space="preserve">manualmente 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la merce su pallet, che sono stoccati in magazzino </w:t>
      </w:r>
      <w:r w:rsidR="00BA3EA6">
        <w:rPr>
          <w:rFonts w:ascii="Arial" w:hAnsi="Arial" w:cs="Arial"/>
          <w:sz w:val="20"/>
          <w:szCs w:val="20"/>
          <w:lang w:val="it-IT"/>
        </w:rPr>
        <w:t>intensivo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. Quest'ultimo rifornisce </w:t>
      </w:r>
      <w:r w:rsidR="00BA3EA6">
        <w:rPr>
          <w:rFonts w:ascii="Arial" w:hAnsi="Arial" w:cs="Arial"/>
          <w:sz w:val="20"/>
          <w:szCs w:val="20"/>
          <w:lang w:val="it-IT"/>
        </w:rPr>
        <w:t xml:space="preserve">le quattro corsie 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shuttle di TGW a cui sono collegate due postazioni ergonomiche di prelievo PickCenter One. Queste stazioni di lavoro 1:1 </w:t>
      </w:r>
      <w:r w:rsidR="00BA3EA6">
        <w:rPr>
          <w:rFonts w:ascii="Arial" w:hAnsi="Arial" w:cs="Arial"/>
          <w:sz w:val="20"/>
          <w:szCs w:val="20"/>
          <w:lang w:val="it-IT"/>
        </w:rPr>
        <w:t>con merce all’operatore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 accelerano sostenibilmente la composizione degli ordini, incrementando sia l'efficienza sia l'accuratezza e</w:t>
      </w:r>
      <w:r w:rsidR="00BA3EA6">
        <w:rPr>
          <w:rFonts w:ascii="Arial" w:hAnsi="Arial" w:cs="Arial"/>
          <w:sz w:val="20"/>
          <w:szCs w:val="20"/>
          <w:lang w:val="it-IT"/>
        </w:rPr>
        <w:t xml:space="preserve">vitando 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inutili </w:t>
      </w:r>
      <w:r w:rsidR="00BA3EA6">
        <w:rPr>
          <w:rFonts w:ascii="Arial" w:hAnsi="Arial" w:cs="Arial"/>
          <w:sz w:val="20"/>
          <w:szCs w:val="20"/>
          <w:lang w:val="it-IT"/>
        </w:rPr>
        <w:t>trasferimenti per i prelievi</w:t>
      </w:r>
      <w:r w:rsidRPr="00BA3EA6">
        <w:rPr>
          <w:rFonts w:ascii="Arial" w:hAnsi="Arial" w:cs="Arial"/>
          <w:sz w:val="20"/>
          <w:szCs w:val="20"/>
          <w:lang w:val="it-IT"/>
        </w:rPr>
        <w:t>.</w:t>
      </w:r>
    </w:p>
    <w:p w:rsidR="00AC72EF" w:rsidRPr="00BA3EA6" w:rsidRDefault="00BA3EA6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lastRenderedPageBreak/>
        <w:t>I contenitori-ordine</w:t>
      </w:r>
      <w:r w:rsidR="00222700" w:rsidRPr="00BA3EA6">
        <w:rPr>
          <w:rFonts w:ascii="Arial" w:hAnsi="Arial" w:cs="Arial"/>
          <w:sz w:val="20"/>
          <w:szCs w:val="20"/>
          <w:lang w:val="it-IT"/>
        </w:rPr>
        <w:t xml:space="preserve"> sono trasportati direttamente all'area spedizione oppure immagazzinati temporaneamente in un buffer con shuttle. Gli ordini sono </w:t>
      </w:r>
      <w:r>
        <w:rPr>
          <w:rFonts w:ascii="Arial" w:hAnsi="Arial" w:cs="Arial"/>
          <w:sz w:val="20"/>
          <w:szCs w:val="20"/>
          <w:lang w:val="it-IT"/>
        </w:rPr>
        <w:t xml:space="preserve">poi confezionati in scatole ed </w:t>
      </w:r>
      <w:r w:rsidR="00222700" w:rsidRPr="00BA3EA6">
        <w:rPr>
          <w:rFonts w:ascii="Arial" w:hAnsi="Arial" w:cs="Arial"/>
          <w:sz w:val="20"/>
          <w:szCs w:val="20"/>
          <w:lang w:val="it-IT"/>
        </w:rPr>
        <w:t>etichettati. La composizione dei pallet per l'invio ai clienti B2B avviene mediante tre pallettizzatori SlotStax di TGW. La gestione del flusso e dei processi complessi è affidata al TGW Warehouse Software.</w:t>
      </w:r>
    </w:p>
    <w:p w:rsidR="00B67BA3" w:rsidRPr="00BA3EA6" w:rsidRDefault="00B67BA3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C62949" w:rsidRPr="00BA3EA6" w:rsidRDefault="00CA4439" w:rsidP="00C6294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A3EA6">
        <w:rPr>
          <w:rFonts w:ascii="Arial" w:hAnsi="Arial" w:cs="Arial"/>
          <w:b/>
          <w:sz w:val="20"/>
          <w:szCs w:val="20"/>
          <w:lang w:val="it-IT"/>
        </w:rPr>
        <w:t>Un progetto che costituirà la base per la crescita pianificata</w:t>
      </w:r>
    </w:p>
    <w:p w:rsidR="00C62949" w:rsidRPr="00BA3EA6" w:rsidRDefault="00C62949" w:rsidP="00770D2C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770D2C" w:rsidRPr="00BA3EA6" w:rsidRDefault="00770D2C" w:rsidP="00770D2C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BA3EA6">
        <w:rPr>
          <w:rFonts w:ascii="Arial" w:hAnsi="Arial" w:cs="Arial"/>
          <w:sz w:val="20"/>
          <w:szCs w:val="20"/>
          <w:lang w:val="it-IT"/>
        </w:rPr>
        <w:t>Jacob Rodriguez, Chief Operating Officer presso Jasco, dichiara: "Non abbiamo avuto alcun dubbio: il concetto di impianto sviluppato da Burns &amp; McDonnell e da TGW soddisfa tutti i principali indicatori prestazionali. L'automatizzazione migliora la sicurezza e l'ergonomia, oltre a fornire nuove possibilità ai nostri collaboratori."</w:t>
      </w:r>
    </w:p>
    <w:p w:rsidR="00283786" w:rsidRPr="00BA3EA6" w:rsidRDefault="00283786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283786" w:rsidRPr="00BA3EA6" w:rsidRDefault="00283786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  <w:r w:rsidRPr="00BA3EA6">
        <w:rPr>
          <w:rFonts w:ascii="Arial" w:hAnsi="Arial" w:cs="Arial"/>
          <w:sz w:val="20"/>
          <w:szCs w:val="20"/>
          <w:lang w:val="it-IT"/>
        </w:rPr>
        <w:t xml:space="preserve">Anche dopo il go-live Jasco continuerà ad affidarsi al know-how e all'esperienza di TGW con la sottoscrizione di un contratto Full Service della durata di cinque anni. Gli specialisti del Lifetime Services garantiscono infatti notte e giorno il funzionamento affidabile a pieno </w:t>
      </w:r>
      <w:r w:rsidR="00BA3EA6">
        <w:rPr>
          <w:rFonts w:ascii="Arial" w:hAnsi="Arial" w:cs="Arial"/>
          <w:sz w:val="20"/>
          <w:szCs w:val="20"/>
          <w:lang w:val="it-IT"/>
        </w:rPr>
        <w:t>regime</w:t>
      </w:r>
      <w:r w:rsidRPr="00BA3EA6">
        <w:rPr>
          <w:rFonts w:ascii="Arial" w:hAnsi="Arial" w:cs="Arial"/>
          <w:sz w:val="20"/>
          <w:szCs w:val="20"/>
          <w:lang w:val="it-IT"/>
        </w:rPr>
        <w:t xml:space="preserve"> dell'impianto ad alta automazione.</w:t>
      </w:r>
    </w:p>
    <w:p w:rsidR="00283786" w:rsidRPr="00BA3EA6" w:rsidRDefault="00283786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it-IT"/>
        </w:rPr>
      </w:pPr>
    </w:p>
    <w:p w:rsidR="00551AD9" w:rsidRPr="00BA3EA6" w:rsidRDefault="00551AD9" w:rsidP="00551AD9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2018D9" w:rsidRPr="00BA3EA6" w:rsidRDefault="002018D9" w:rsidP="00FC4947">
      <w:pPr>
        <w:ind w:right="1835"/>
        <w:jc w:val="both"/>
        <w:rPr>
          <w:rFonts w:eastAsia="Times New Roman" w:cs="Arial"/>
          <w:szCs w:val="20"/>
          <w:lang w:val="it-IT"/>
        </w:rPr>
      </w:pPr>
    </w:p>
    <w:p w:rsidR="00A37433" w:rsidRDefault="0033084A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6E3CBA" w:rsidRPr="00BA3EA6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6E3CBA" w:rsidRPr="00BA3EA6">
        <w:rPr>
          <w:rFonts w:ascii="Arial" w:hAnsi="Arial" w:cs="Arial"/>
          <w:sz w:val="20"/>
          <w:szCs w:val="20"/>
          <w:lang w:val="en-GB"/>
        </w:rPr>
        <w:br/>
      </w: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4D66" w:rsidRDefault="00ED4D66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5C2C09" w:rsidRDefault="005C2C09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5C2C09" w:rsidRDefault="005C2C09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Normale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BA3EA6">
        <w:rPr>
          <w:rFonts w:ascii="Arial" w:hAnsi="Arial" w:cs="Arial"/>
          <w:b/>
          <w:sz w:val="20"/>
          <w:szCs w:val="20"/>
          <w:lang w:val="en-GB"/>
        </w:rPr>
        <w:t>Informazioni sul TGW Logistics Group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 xml:space="preserve">TGW Logistics Group è un'azienda fornitrice di soluzioni per l'intralogistica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BA3EA6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>Il gruppo TGW Logistics Group ha filiali in Europa, Cina e USA e può contare su oltre 4.000 collaboratori in tutto il mondo. Nell'esercizio fiscale 2020/21 l'azienda ha ottenuto un fatturato complessivo di 813 milioni di euro.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BA3EA6">
        <w:rPr>
          <w:rFonts w:cs="Arial"/>
          <w:b/>
          <w:szCs w:val="20"/>
          <w:lang w:val="it-IT"/>
        </w:rPr>
        <w:t>Fotografie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5C2C09" w:rsidRPr="00BA3EA6" w:rsidRDefault="005C2C09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5C2C09" w:rsidRPr="00BA3EA6" w:rsidRDefault="005C2C09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>© Burns &amp; McDonnell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BA3EA6">
        <w:rPr>
          <w:rFonts w:cs="Arial"/>
          <w:b/>
          <w:szCs w:val="20"/>
          <w:lang w:val="it-IT"/>
        </w:rPr>
        <w:t>Contatti: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BA3EA6">
        <w:rPr>
          <w:rFonts w:cs="Arial"/>
          <w:szCs w:val="20"/>
          <w:lang w:val="en-GB"/>
        </w:rPr>
        <w:t>TGW Logistics Group GmbH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BA3EA6">
        <w:rPr>
          <w:rFonts w:eastAsiaTheme="minorEastAsia" w:cs="Arial"/>
          <w:noProof/>
          <w:szCs w:val="20"/>
          <w:lang w:val="en-GB"/>
        </w:rPr>
        <w:t>A-4614 Marchtrenk</w:t>
      </w:r>
      <w:r w:rsidRPr="00BA3EA6">
        <w:rPr>
          <w:rFonts w:cs="Arial"/>
          <w:szCs w:val="20"/>
          <w:lang w:val="en-GB"/>
        </w:rPr>
        <w:t>, Ludwig Szinicz Straße 3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BA3EA6">
        <w:rPr>
          <w:rFonts w:cs="Arial"/>
          <w:szCs w:val="20"/>
          <w:lang w:val="en-GB"/>
        </w:rPr>
        <w:t>Tel: +43.(0)50.486-0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>Fax: +43.(0)50.486-31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BA3EA6">
        <w:rPr>
          <w:rFonts w:cs="Arial"/>
          <w:szCs w:val="20"/>
          <w:lang w:val="it-IT"/>
        </w:rPr>
        <w:t>E-mail: tgw@tgw-group.com</w:t>
      </w: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BA3EA6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BA3EA6">
        <w:rPr>
          <w:rFonts w:cs="Arial"/>
          <w:b/>
          <w:szCs w:val="20"/>
          <w:lang w:val="en-GB"/>
        </w:rPr>
        <w:t>Contatto stampa: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A3EA6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A3EA6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A3EA6">
        <w:rPr>
          <w:rFonts w:cs="Arial"/>
          <w:szCs w:val="20"/>
          <w:lang w:val="en-GB"/>
        </w:rPr>
        <w:t>Tel: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BA3EA6">
        <w:rPr>
          <w:rFonts w:cs="Arial"/>
          <w:szCs w:val="20"/>
          <w:lang w:val="en-GB"/>
        </w:rPr>
        <w:t>Cell.: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BA3EA6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BA3EA6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BA3EA6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Cell.: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4A" w:rsidRDefault="0033084A" w:rsidP="00764006">
      <w:pPr>
        <w:spacing w:line="240" w:lineRule="auto"/>
      </w:pPr>
      <w:r>
        <w:separator/>
      </w:r>
    </w:p>
  </w:endnote>
  <w:endnote w:type="continuationSeparator" w:id="0">
    <w:p w:rsidR="0033084A" w:rsidRDefault="0033084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Pidipagina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Pidipagina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33084A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A459AA" w:rsidRDefault="00A459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4A" w:rsidRDefault="0033084A" w:rsidP="00764006">
      <w:pPr>
        <w:spacing w:line="240" w:lineRule="auto"/>
      </w:pPr>
      <w:r>
        <w:separator/>
      </w:r>
    </w:p>
  </w:footnote>
  <w:footnote w:type="continuationSeparator" w:id="0">
    <w:p w:rsidR="0033084A" w:rsidRDefault="0033084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Intestazione"/>
      <w:jc w:val="right"/>
    </w:pPr>
    <w:r>
      <w:br/>
    </w:r>
  </w:p>
  <w:p w:rsidR="00A459AA" w:rsidRPr="00C15D91" w:rsidRDefault="00A459AA" w:rsidP="00C00CC7">
    <w:pPr>
      <w:pStyle w:val="Dokumententitel"/>
    </w:pPr>
    <w:r>
      <w:rPr>
        <w:lang w:val="it-IT" w:eastAsia="it-IT"/>
      </w:rP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6297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31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0B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700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3DCE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3786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0BFE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084A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6BCB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2E2A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1AD9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7C1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532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2C09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1FF"/>
    <w:rsid w:val="005D5A03"/>
    <w:rsid w:val="005D620C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0FEB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CBA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1A0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D2C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2888"/>
    <w:rsid w:val="0089352B"/>
    <w:rsid w:val="0089545A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1598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143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06C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0890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829"/>
    <w:rsid w:val="00AC2AD6"/>
    <w:rsid w:val="00AC330A"/>
    <w:rsid w:val="00AC334F"/>
    <w:rsid w:val="00AC39F5"/>
    <w:rsid w:val="00AC3DC8"/>
    <w:rsid w:val="00AC41CF"/>
    <w:rsid w:val="00AC4EB4"/>
    <w:rsid w:val="00AC72EF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6A77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67BA3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3EA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4FF7"/>
    <w:rsid w:val="00C259B9"/>
    <w:rsid w:val="00C25EE9"/>
    <w:rsid w:val="00C263C3"/>
    <w:rsid w:val="00C272DC"/>
    <w:rsid w:val="00C31C7C"/>
    <w:rsid w:val="00C31CEB"/>
    <w:rsid w:val="00C31E2C"/>
    <w:rsid w:val="00C321DD"/>
    <w:rsid w:val="00C326E0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2949"/>
    <w:rsid w:val="00C632A9"/>
    <w:rsid w:val="00C639CE"/>
    <w:rsid w:val="00C6480A"/>
    <w:rsid w:val="00C648C0"/>
    <w:rsid w:val="00C64DCC"/>
    <w:rsid w:val="00C653CD"/>
    <w:rsid w:val="00C65407"/>
    <w:rsid w:val="00C654AD"/>
    <w:rsid w:val="00C66BE0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439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6B68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09C"/>
    <w:rsid w:val="00D021BB"/>
    <w:rsid w:val="00D02400"/>
    <w:rsid w:val="00D032B8"/>
    <w:rsid w:val="00D05D62"/>
    <w:rsid w:val="00D06414"/>
    <w:rsid w:val="00D06840"/>
    <w:rsid w:val="00D06C4A"/>
    <w:rsid w:val="00D12BD3"/>
    <w:rsid w:val="00D1479B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6CDD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3369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4C72"/>
    <w:rsid w:val="00E66096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025"/>
    <w:rsid w:val="00ED3142"/>
    <w:rsid w:val="00ED33DD"/>
    <w:rsid w:val="00ED4162"/>
    <w:rsid w:val="00ED48BB"/>
    <w:rsid w:val="00ED4D66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6F69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3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FCE0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006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006"/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Pidipagina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Collegamentoipertestuale">
    <w:name w:val="Hyperlink"/>
    <w:basedOn w:val="Carpredefinitoparagrafo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PidipaginaCarattere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Pidipagina"/>
    <w:link w:val="FuzeileFirmendatenZchn"/>
    <w:qFormat/>
    <w:rsid w:val="00C15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PidipaginaCarattere"/>
    <w:link w:val="FuzeileFirmendaten"/>
    <w:rsid w:val="00C15D91"/>
    <w:rPr>
      <w:rFonts w:ascii="Arial" w:hAnsi="Arial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e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Carpredefinitoparagrafo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e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Carpredefinitoparagrafo"/>
    <w:link w:val="Adresse"/>
    <w:rsid w:val="00B56A9C"/>
    <w:rPr>
      <w:rFonts w:ascii="Arial" w:hAnsi="Arial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Paragrafoelenco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Paragrafoelenco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ParagrafoelencoCarattere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ParagrafoelencoCarattere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Intestazione"/>
    <w:link w:val="DokumententitelZchn"/>
    <w:qFormat/>
    <w:rsid w:val="00C00CC7"/>
    <w:rPr>
      <w:noProof/>
      <w:color w:val="C00418" w:themeColor="accent1"/>
      <w:sz w:val="48"/>
    </w:rPr>
  </w:style>
  <w:style w:type="character" w:styleId="Enfasigrassetto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IntestazioneCarattere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Carpredefinitoparagrafo"/>
    <w:rsid w:val="005F518B"/>
    <w:rPr>
      <w:rFonts w:ascii="Calibri" w:hAnsi="Calibri"/>
    </w:rPr>
  </w:style>
  <w:style w:type="paragraph" w:styleId="NormaleWeb">
    <w:name w:val="Normal (Web)"/>
    <w:basedOn w:val="Normale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Pidipagina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Corpotesto">
    <w:name w:val="Body Text"/>
    <w:basedOn w:val="Normale"/>
    <w:link w:val="CorpotestoCarattere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A04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040F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4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Enfasidelicata">
    <w:name w:val="Subtle Emphasis"/>
    <w:uiPriority w:val="19"/>
    <w:qFormat/>
    <w:rsid w:val="00761D38"/>
    <w:rPr>
      <w:i/>
      <w:iCs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7EC1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EC1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4903-9C75-45E9-B03F-5BFC696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TGW Know-how beschleunigt Home Electronic Spezialist Jasco</vt:lpstr>
      <vt:lpstr>Template_Brief</vt:lpstr>
    </vt:vector>
  </TitlesOfParts>
  <Company>TGW Group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know-how di TGW dà la spinta all'azienda specializzata in home electronic Jasco</dc:title>
  <dc:creator>Tahedl Alexander</dc:creator>
  <cp:keywords>Il know-how di TGW dà la spinta all'azienda specializzata in home electronic Jasco</cp:keywords>
  <cp:lastModifiedBy>Tahedl Alexander</cp:lastModifiedBy>
  <cp:revision>12</cp:revision>
  <cp:lastPrinted>2020-09-07T05:28:00Z</cp:lastPrinted>
  <dcterms:created xsi:type="dcterms:W3CDTF">2022-05-09T14:18:00Z</dcterms:created>
  <dcterms:modified xsi:type="dcterms:W3CDTF">2022-06-03T04:25:00Z</dcterms:modified>
</cp:coreProperties>
</file>