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DB" w:rsidRDefault="00A310DB" w:rsidP="00B34DB2">
      <w:pPr>
        <w:spacing w:line="360" w:lineRule="auto"/>
        <w:ind w:left="0" w:right="1693"/>
        <w:rPr>
          <w:rFonts w:cs="Arial"/>
          <w:b/>
          <w:sz w:val="28"/>
          <w:szCs w:val="28"/>
        </w:rPr>
      </w:pPr>
    </w:p>
    <w:p w:rsidR="00B018E2" w:rsidRDefault="00B018E2" w:rsidP="00B34DB2">
      <w:pPr>
        <w:spacing w:line="360" w:lineRule="auto"/>
        <w:ind w:left="0" w:right="1693"/>
        <w:rPr>
          <w:rFonts w:cs="Arial"/>
          <w:b/>
          <w:sz w:val="28"/>
          <w:szCs w:val="28"/>
        </w:rPr>
      </w:pPr>
    </w:p>
    <w:p w:rsidR="0073741E" w:rsidRPr="008E190B" w:rsidRDefault="003C0C35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it-IT"/>
        </w:rPr>
      </w:pPr>
      <w:r w:rsidRPr="008E190B">
        <w:rPr>
          <w:rFonts w:cs="Arial"/>
          <w:b/>
          <w:sz w:val="28"/>
          <w:szCs w:val="28"/>
          <w:lang w:val="it-IT"/>
        </w:rPr>
        <w:t>Lo smistatore Na</w:t>
      </w:r>
      <w:bookmarkStart w:id="0" w:name="_GoBack"/>
      <w:bookmarkEnd w:id="0"/>
      <w:r w:rsidRPr="008E190B">
        <w:rPr>
          <w:rFonts w:cs="Arial"/>
          <w:b/>
          <w:sz w:val="28"/>
          <w:szCs w:val="28"/>
          <w:lang w:val="it-IT"/>
        </w:rPr>
        <w:t>trix di TGW: potente, efficiente, flessibile</w:t>
      </w:r>
    </w:p>
    <w:p w:rsidR="00315732" w:rsidRPr="008E190B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it-IT"/>
        </w:rPr>
      </w:pPr>
    </w:p>
    <w:p w:rsidR="00FF62C9" w:rsidRPr="008E190B" w:rsidRDefault="00D97575" w:rsidP="00FF62C9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 w:rsidRPr="008E190B">
        <w:rPr>
          <w:rFonts w:cs="Arial"/>
          <w:b/>
          <w:sz w:val="24"/>
          <w:szCs w:val="24"/>
          <w:lang w:val="it-IT"/>
        </w:rPr>
        <w:t xml:space="preserve">L'azienda specializzata in </w:t>
      </w:r>
      <w:proofErr w:type="spellStart"/>
      <w:r w:rsidRPr="008E190B">
        <w:rPr>
          <w:rFonts w:cs="Arial"/>
          <w:b/>
          <w:sz w:val="24"/>
          <w:szCs w:val="24"/>
          <w:lang w:val="it-IT"/>
        </w:rPr>
        <w:t>intralogistica</w:t>
      </w:r>
      <w:proofErr w:type="spellEnd"/>
      <w:r w:rsidRPr="008E190B">
        <w:rPr>
          <w:rFonts w:cs="Arial"/>
          <w:b/>
          <w:sz w:val="24"/>
          <w:szCs w:val="24"/>
          <w:lang w:val="it-IT"/>
        </w:rPr>
        <w:t xml:space="preserve"> TGW </w:t>
      </w:r>
      <w:r w:rsidR="00934F97">
        <w:rPr>
          <w:rFonts w:cs="Arial"/>
          <w:b/>
          <w:sz w:val="24"/>
          <w:szCs w:val="24"/>
          <w:lang w:val="it-IT"/>
        </w:rPr>
        <w:t xml:space="preserve">aumenta la potenzialità del proprio sorter </w:t>
      </w:r>
      <w:r w:rsidRPr="008E190B">
        <w:rPr>
          <w:rFonts w:cs="Arial"/>
          <w:b/>
          <w:sz w:val="24"/>
          <w:szCs w:val="24"/>
          <w:lang w:val="it-IT"/>
        </w:rPr>
        <w:t xml:space="preserve">lineare </w:t>
      </w:r>
      <w:r w:rsidR="007712E6">
        <w:rPr>
          <w:rFonts w:cs="Arial"/>
          <w:b/>
          <w:sz w:val="24"/>
          <w:szCs w:val="24"/>
          <w:lang w:val="it-IT"/>
        </w:rPr>
        <w:t>fino a</w:t>
      </w:r>
      <w:r w:rsidRPr="008E190B">
        <w:rPr>
          <w:rFonts w:cs="Arial"/>
          <w:b/>
          <w:sz w:val="24"/>
          <w:szCs w:val="24"/>
          <w:lang w:val="it-IT"/>
        </w:rPr>
        <w:t xml:space="preserve"> 6.000 </w:t>
      </w:r>
      <w:r w:rsidR="007712E6">
        <w:rPr>
          <w:rFonts w:cs="Arial"/>
          <w:b/>
          <w:sz w:val="24"/>
          <w:szCs w:val="24"/>
          <w:lang w:val="it-IT"/>
        </w:rPr>
        <w:t>e</w:t>
      </w:r>
      <w:r w:rsidRPr="008E190B">
        <w:rPr>
          <w:rFonts w:cs="Arial"/>
          <w:b/>
          <w:sz w:val="24"/>
          <w:szCs w:val="24"/>
          <w:lang w:val="it-IT"/>
        </w:rPr>
        <w:t xml:space="preserve"> 15.000 </w:t>
      </w:r>
      <w:r w:rsidR="00934F97">
        <w:rPr>
          <w:rFonts w:cs="Arial"/>
          <w:b/>
          <w:sz w:val="24"/>
          <w:szCs w:val="24"/>
          <w:lang w:val="it-IT"/>
        </w:rPr>
        <w:t>unità all’ora</w:t>
      </w:r>
    </w:p>
    <w:p w:rsidR="00A310DB" w:rsidRPr="008E190B" w:rsidRDefault="00A310DB" w:rsidP="00FF62C9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 w:rsidRPr="008E190B">
        <w:rPr>
          <w:rFonts w:cs="Arial"/>
          <w:b/>
          <w:sz w:val="24"/>
          <w:szCs w:val="24"/>
          <w:lang w:val="it-IT"/>
        </w:rPr>
        <w:t xml:space="preserve">Adatto a scatole, contenitori, vassoi e </w:t>
      </w:r>
      <w:proofErr w:type="spellStart"/>
      <w:r w:rsidRPr="008E190B">
        <w:rPr>
          <w:rFonts w:cs="Arial"/>
          <w:b/>
          <w:sz w:val="24"/>
          <w:szCs w:val="24"/>
          <w:lang w:val="it-IT"/>
        </w:rPr>
        <w:t>paperbag</w:t>
      </w:r>
      <w:proofErr w:type="spellEnd"/>
      <w:r w:rsidRPr="008E190B">
        <w:rPr>
          <w:rFonts w:cs="Arial"/>
          <w:b/>
          <w:sz w:val="24"/>
          <w:szCs w:val="24"/>
          <w:lang w:val="it-IT"/>
        </w:rPr>
        <w:t xml:space="preserve"> </w:t>
      </w:r>
    </w:p>
    <w:p w:rsidR="00060901" w:rsidRPr="008E190B" w:rsidRDefault="001B7227" w:rsidP="00A310D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 w:rsidRPr="008E190B">
        <w:rPr>
          <w:rFonts w:cs="Arial"/>
          <w:b/>
          <w:sz w:val="24"/>
          <w:szCs w:val="24"/>
          <w:lang w:val="it-IT"/>
        </w:rPr>
        <w:t xml:space="preserve">Algoritmi intelligenti di </w:t>
      </w:r>
      <w:r w:rsidR="00934F97">
        <w:rPr>
          <w:rFonts w:cs="Arial"/>
          <w:b/>
          <w:sz w:val="24"/>
          <w:szCs w:val="24"/>
          <w:lang w:val="it-IT"/>
        </w:rPr>
        <w:t>controllo</w:t>
      </w:r>
      <w:r w:rsidRPr="008E190B">
        <w:rPr>
          <w:rFonts w:cs="Arial"/>
          <w:b/>
          <w:sz w:val="24"/>
          <w:szCs w:val="24"/>
          <w:lang w:val="it-IT"/>
        </w:rPr>
        <w:t xml:space="preserve"> garantiscono la massima disponibilità</w:t>
      </w:r>
      <w:r w:rsidR="00934F97">
        <w:rPr>
          <w:rFonts w:cs="Arial"/>
          <w:b/>
          <w:sz w:val="24"/>
          <w:szCs w:val="24"/>
          <w:lang w:val="it-IT"/>
        </w:rPr>
        <w:t xml:space="preserve"> del sistema</w:t>
      </w:r>
    </w:p>
    <w:p w:rsidR="00A310DB" w:rsidRPr="008E190B" w:rsidRDefault="00A310DB" w:rsidP="00A310DB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it-IT"/>
        </w:rPr>
      </w:pPr>
      <w:r w:rsidRPr="008E190B">
        <w:rPr>
          <w:rFonts w:cs="Arial"/>
          <w:b/>
          <w:sz w:val="24"/>
          <w:szCs w:val="24"/>
          <w:lang w:val="it-IT"/>
        </w:rPr>
        <w:t>Alto grado di flessibilità ed efficienza energetica in primo piano</w:t>
      </w:r>
    </w:p>
    <w:p w:rsidR="00E26207" w:rsidRPr="008E190B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it-IT"/>
        </w:rPr>
      </w:pPr>
    </w:p>
    <w:p w:rsidR="00235CF7" w:rsidRPr="008E190B" w:rsidRDefault="00EF32D1" w:rsidP="00B34DB2">
      <w:pPr>
        <w:spacing w:line="360" w:lineRule="auto"/>
        <w:ind w:left="0" w:right="1693"/>
        <w:rPr>
          <w:rFonts w:cs="Arial"/>
          <w:b/>
          <w:szCs w:val="20"/>
          <w:lang w:val="it-IT"/>
        </w:rPr>
      </w:pPr>
      <w:r w:rsidRPr="008E190B">
        <w:rPr>
          <w:rFonts w:cs="Arial"/>
          <w:b/>
          <w:szCs w:val="20"/>
          <w:lang w:val="it-IT"/>
        </w:rPr>
        <w:t xml:space="preserve">(Marchtrenk, </w:t>
      </w:r>
      <w:r w:rsidR="00887EF0">
        <w:rPr>
          <w:rFonts w:cs="Arial"/>
          <w:b/>
          <w:szCs w:val="20"/>
          <w:lang w:val="it-IT"/>
        </w:rPr>
        <w:t>14</w:t>
      </w:r>
      <w:r w:rsidRPr="008E190B">
        <w:rPr>
          <w:rFonts w:cs="Arial"/>
          <w:b/>
          <w:szCs w:val="20"/>
          <w:lang w:val="it-IT"/>
        </w:rPr>
        <w:t xml:space="preserve"> aprile 2022) TGW Logistics Group ha sviluppato una soluzione di smistamento ad alt</w:t>
      </w:r>
      <w:r w:rsidR="00934F97">
        <w:rPr>
          <w:rFonts w:cs="Arial"/>
          <w:b/>
          <w:szCs w:val="20"/>
          <w:lang w:val="it-IT"/>
        </w:rPr>
        <w:t>e</w:t>
      </w:r>
      <w:r w:rsidRPr="008E190B">
        <w:rPr>
          <w:rFonts w:cs="Arial"/>
          <w:b/>
          <w:szCs w:val="20"/>
          <w:lang w:val="it-IT"/>
        </w:rPr>
        <w:t xml:space="preserve"> prestazione ed efficienza energetica, adatta a svariate applicazioni e settori di attività. Il corpo centrale, </w:t>
      </w:r>
      <w:r w:rsidR="00934F97">
        <w:rPr>
          <w:rFonts w:cs="Arial"/>
          <w:b/>
          <w:szCs w:val="20"/>
          <w:lang w:val="it-IT"/>
        </w:rPr>
        <w:t xml:space="preserve">il sorter </w:t>
      </w:r>
      <w:r w:rsidRPr="008E190B">
        <w:rPr>
          <w:rFonts w:cs="Arial"/>
          <w:b/>
          <w:szCs w:val="20"/>
          <w:lang w:val="it-IT"/>
        </w:rPr>
        <w:t xml:space="preserve">lineare Natrix, presenta tre livelli di </w:t>
      </w:r>
      <w:r w:rsidR="007712E6">
        <w:rPr>
          <w:rFonts w:cs="Arial"/>
          <w:b/>
          <w:szCs w:val="20"/>
          <w:lang w:val="it-IT"/>
        </w:rPr>
        <w:t>prestazioni</w:t>
      </w:r>
      <w:r w:rsidRPr="008E190B">
        <w:rPr>
          <w:rFonts w:cs="Arial"/>
          <w:b/>
          <w:szCs w:val="20"/>
          <w:lang w:val="it-IT"/>
        </w:rPr>
        <w:t xml:space="preserve"> e, grazie alla struttura modulare, consente di realizzare soluzioni su misura per i clienti. </w:t>
      </w:r>
    </w:p>
    <w:p w:rsidR="005939BF" w:rsidRPr="008E190B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it-IT"/>
        </w:rPr>
      </w:pPr>
    </w:p>
    <w:p w:rsidR="00D01324" w:rsidRPr="008E190B" w:rsidRDefault="009B51CF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Cs/>
          <w:szCs w:val="20"/>
          <w:lang w:val="it-IT"/>
        </w:rPr>
        <w:t xml:space="preserve">La famiglia di </w:t>
      </w:r>
      <w:r w:rsidR="00934F97">
        <w:rPr>
          <w:rFonts w:cs="Arial"/>
          <w:bCs/>
          <w:szCs w:val="20"/>
          <w:lang w:val="it-IT"/>
        </w:rPr>
        <w:t xml:space="preserve">sorter </w:t>
      </w:r>
      <w:r w:rsidRPr="008E190B">
        <w:rPr>
          <w:rFonts w:cs="Arial"/>
          <w:bCs/>
          <w:szCs w:val="20"/>
          <w:lang w:val="it-IT"/>
        </w:rPr>
        <w:t xml:space="preserve">lineari Natrix </w:t>
      </w:r>
      <w:r w:rsidR="00934F97">
        <w:rPr>
          <w:rFonts w:cs="Arial"/>
          <w:bCs/>
          <w:szCs w:val="20"/>
          <w:lang w:val="it-IT"/>
        </w:rPr>
        <w:t>a tazze (</w:t>
      </w:r>
      <w:proofErr w:type="spellStart"/>
      <w:r w:rsidR="00934F97">
        <w:rPr>
          <w:rFonts w:cs="Arial"/>
          <w:bCs/>
          <w:szCs w:val="20"/>
          <w:lang w:val="it-IT"/>
        </w:rPr>
        <w:t>shoe</w:t>
      </w:r>
      <w:proofErr w:type="spellEnd"/>
      <w:r w:rsidR="00934F97">
        <w:rPr>
          <w:rFonts w:cs="Arial"/>
          <w:bCs/>
          <w:szCs w:val="20"/>
          <w:lang w:val="it-IT"/>
        </w:rPr>
        <w:t xml:space="preserve"> sorter)</w:t>
      </w:r>
      <w:r w:rsidRPr="008E190B">
        <w:rPr>
          <w:rFonts w:cs="Arial"/>
          <w:bCs/>
          <w:szCs w:val="20"/>
          <w:lang w:val="it-IT"/>
        </w:rPr>
        <w:t xml:space="preserve"> rappresenta un elemento importante dei sistemi e delle soluzioni di TGW ed è già in uso in centinaia di </w:t>
      </w:r>
      <w:r w:rsidR="00934F97">
        <w:rPr>
          <w:rFonts w:cs="Arial"/>
          <w:bCs/>
          <w:szCs w:val="20"/>
          <w:lang w:val="it-IT"/>
        </w:rPr>
        <w:t>impianti</w:t>
      </w:r>
      <w:r w:rsidRPr="008E190B">
        <w:rPr>
          <w:rFonts w:cs="Arial"/>
          <w:bCs/>
          <w:szCs w:val="20"/>
          <w:lang w:val="it-IT"/>
        </w:rPr>
        <w:t xml:space="preserve"> presso clienti in tutto il mondo. Nella </w:t>
      </w:r>
      <w:r w:rsidR="00934F97">
        <w:rPr>
          <w:rFonts w:cs="Arial"/>
          <w:bCs/>
          <w:szCs w:val="20"/>
          <w:lang w:val="it-IT"/>
        </w:rPr>
        <w:t>sua nu</w:t>
      </w:r>
      <w:r w:rsidRPr="008E190B">
        <w:rPr>
          <w:rFonts w:cs="Arial"/>
          <w:bCs/>
          <w:szCs w:val="20"/>
          <w:lang w:val="it-IT"/>
        </w:rPr>
        <w:t xml:space="preserve">ova variante gli esperti di TGW si sono avvalsi di tutti i loro 25 anni di esperienza. L'esigenza centrale era di avere un sistema altamente performante, che funzionasse risparmiando energia e garantisse la massima flessibilità. </w:t>
      </w:r>
    </w:p>
    <w:p w:rsidR="00A310DB" w:rsidRPr="008E190B" w:rsidRDefault="00A310DB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A310DB" w:rsidRPr="008E190B" w:rsidRDefault="00864E86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8E190B">
        <w:rPr>
          <w:rFonts w:cs="Arial"/>
          <w:b/>
          <w:bCs/>
          <w:szCs w:val="20"/>
          <w:lang w:val="it-IT"/>
        </w:rPr>
        <w:t xml:space="preserve">Fino a 15.000 </w:t>
      </w:r>
      <w:r w:rsidR="00934F97">
        <w:rPr>
          <w:rFonts w:cs="Arial"/>
          <w:b/>
          <w:bCs/>
          <w:szCs w:val="20"/>
          <w:lang w:val="it-IT"/>
        </w:rPr>
        <w:t>unità</w:t>
      </w:r>
      <w:r w:rsidRPr="008E190B">
        <w:rPr>
          <w:rFonts w:cs="Arial"/>
          <w:b/>
          <w:bCs/>
          <w:szCs w:val="20"/>
          <w:lang w:val="it-IT"/>
        </w:rPr>
        <w:t xml:space="preserve"> di carico all'ora </w:t>
      </w:r>
    </w:p>
    <w:p w:rsidR="00C95B42" w:rsidRPr="008E190B" w:rsidRDefault="00C95B42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4F4842" w:rsidRPr="008E190B" w:rsidRDefault="00D2523C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Cs/>
          <w:szCs w:val="20"/>
          <w:lang w:val="it-IT"/>
        </w:rPr>
        <w:t xml:space="preserve">Le prestazioni, la lunghezza, l'angolo di evacuazione e l'unità di carico determinano il design </w:t>
      </w:r>
      <w:r w:rsidR="00934F97">
        <w:rPr>
          <w:rFonts w:cs="Arial"/>
          <w:bCs/>
          <w:szCs w:val="20"/>
          <w:lang w:val="it-IT"/>
        </w:rPr>
        <w:t>del sorter</w:t>
      </w:r>
      <w:r w:rsidRPr="008E190B">
        <w:rPr>
          <w:rFonts w:cs="Arial"/>
          <w:bCs/>
          <w:szCs w:val="20"/>
          <w:lang w:val="it-IT"/>
        </w:rPr>
        <w:t xml:space="preserve">. Grazie alle diverse varianti (espulsione a 22° o 30°, tecnica di separazione parallela o tradizionale), il modulo Natrix si inserisce perfettamente </w:t>
      </w:r>
      <w:r w:rsidR="00934F97">
        <w:rPr>
          <w:rFonts w:cs="Arial"/>
          <w:bCs/>
          <w:szCs w:val="20"/>
          <w:lang w:val="it-IT"/>
        </w:rPr>
        <w:t>negli standard</w:t>
      </w:r>
      <w:r w:rsidRPr="008E190B">
        <w:rPr>
          <w:rFonts w:cs="Arial"/>
          <w:bCs/>
          <w:szCs w:val="20"/>
          <w:lang w:val="it-IT"/>
        </w:rPr>
        <w:t xml:space="preserve"> TGW e può essere distinto in tre livelli:</w:t>
      </w:r>
    </w:p>
    <w:p w:rsidR="00864E86" w:rsidRPr="008E190B" w:rsidRDefault="00864E86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942462" w:rsidRPr="008E190B" w:rsidRDefault="00942462" w:rsidP="009136D7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/>
          <w:szCs w:val="20"/>
          <w:lang w:val="it-IT"/>
        </w:rPr>
        <w:t xml:space="preserve">Fino a 15.000 </w:t>
      </w:r>
      <w:r w:rsidR="00934F97">
        <w:rPr>
          <w:rFonts w:cs="Arial"/>
          <w:b/>
          <w:szCs w:val="20"/>
          <w:lang w:val="it-IT"/>
        </w:rPr>
        <w:t>unità</w:t>
      </w:r>
      <w:r w:rsidRPr="008E190B">
        <w:rPr>
          <w:rFonts w:cs="Arial"/>
          <w:b/>
          <w:szCs w:val="20"/>
          <w:lang w:val="it-IT"/>
        </w:rPr>
        <w:t xml:space="preserve"> di carico all'ora:</w:t>
      </w:r>
      <w:r w:rsidRPr="008E190B">
        <w:rPr>
          <w:rFonts w:cs="Arial"/>
          <w:bCs/>
          <w:szCs w:val="20"/>
          <w:lang w:val="it-IT"/>
        </w:rPr>
        <w:t xml:space="preserve"> in caso di prestazioni molto elevate viene impiegata una tecnica di separazione parallela e anche l'unità di carico è trasportata davanti allo smistatore con un cosiddetto sistema </w:t>
      </w:r>
      <w:proofErr w:type="spellStart"/>
      <w:r w:rsidRPr="008E190B">
        <w:rPr>
          <w:rFonts w:cs="Arial"/>
          <w:bCs/>
          <w:szCs w:val="20"/>
          <w:lang w:val="it-IT"/>
        </w:rPr>
        <w:t>sawtooth</w:t>
      </w:r>
      <w:proofErr w:type="spellEnd"/>
      <w:r w:rsidRPr="008E190B">
        <w:rPr>
          <w:rFonts w:cs="Arial"/>
          <w:bCs/>
          <w:szCs w:val="20"/>
          <w:lang w:val="it-IT"/>
        </w:rPr>
        <w:t xml:space="preserve"> merge.</w:t>
      </w:r>
    </w:p>
    <w:p w:rsidR="00942462" w:rsidRPr="008E190B" w:rsidRDefault="00942462" w:rsidP="009136D7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/>
          <w:szCs w:val="20"/>
          <w:lang w:val="it-IT"/>
        </w:rPr>
        <w:lastRenderedPageBreak/>
        <w:t xml:space="preserve">Fino a 10.000 </w:t>
      </w:r>
      <w:r w:rsidR="00934F97">
        <w:rPr>
          <w:rFonts w:cs="Arial"/>
          <w:b/>
          <w:szCs w:val="20"/>
          <w:lang w:val="it-IT"/>
        </w:rPr>
        <w:t>unità</w:t>
      </w:r>
      <w:r w:rsidRPr="008E190B">
        <w:rPr>
          <w:rFonts w:cs="Arial"/>
          <w:b/>
          <w:szCs w:val="20"/>
          <w:lang w:val="it-IT"/>
        </w:rPr>
        <w:t xml:space="preserve"> di carico all'ora:</w:t>
      </w:r>
      <w:r w:rsidRPr="008E190B">
        <w:rPr>
          <w:rFonts w:cs="Arial"/>
          <w:bCs/>
          <w:szCs w:val="20"/>
          <w:lang w:val="it-IT"/>
        </w:rPr>
        <w:t xml:space="preserve"> questa variante si basa sulla tecnica di separazione tradizionale e anche sul sistema </w:t>
      </w:r>
      <w:proofErr w:type="spellStart"/>
      <w:r w:rsidRPr="008E190B">
        <w:rPr>
          <w:rFonts w:cs="Arial"/>
          <w:bCs/>
          <w:szCs w:val="20"/>
          <w:lang w:val="it-IT"/>
        </w:rPr>
        <w:t>sawtooth</w:t>
      </w:r>
      <w:proofErr w:type="spellEnd"/>
      <w:r w:rsidRPr="008E190B">
        <w:rPr>
          <w:rFonts w:cs="Arial"/>
          <w:bCs/>
          <w:szCs w:val="20"/>
          <w:lang w:val="it-IT"/>
        </w:rPr>
        <w:t xml:space="preserve"> merge. </w:t>
      </w:r>
    </w:p>
    <w:p w:rsidR="006D1804" w:rsidRPr="008E190B" w:rsidRDefault="006D1804" w:rsidP="009136D7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/>
          <w:szCs w:val="20"/>
          <w:lang w:val="it-IT"/>
        </w:rPr>
        <w:t xml:space="preserve">Fino a 6.000 </w:t>
      </w:r>
      <w:r w:rsidR="00934F97">
        <w:rPr>
          <w:rFonts w:cs="Arial"/>
          <w:b/>
          <w:szCs w:val="20"/>
          <w:lang w:val="it-IT"/>
        </w:rPr>
        <w:t>unità</w:t>
      </w:r>
      <w:r w:rsidR="00934F97" w:rsidRPr="008E190B">
        <w:rPr>
          <w:rFonts w:cs="Arial"/>
          <w:b/>
          <w:szCs w:val="20"/>
          <w:lang w:val="it-IT"/>
        </w:rPr>
        <w:t xml:space="preserve"> </w:t>
      </w:r>
      <w:r w:rsidRPr="008E190B">
        <w:rPr>
          <w:rFonts w:cs="Arial"/>
          <w:b/>
          <w:szCs w:val="20"/>
          <w:lang w:val="it-IT"/>
        </w:rPr>
        <w:t>di carico all'ora:</w:t>
      </w:r>
      <w:r w:rsidRPr="008E190B">
        <w:rPr>
          <w:rFonts w:cs="Arial"/>
          <w:bCs/>
          <w:szCs w:val="20"/>
          <w:lang w:val="it-IT"/>
        </w:rPr>
        <w:t xml:space="preserve"> per basse prestazioni viene utilizzato il cosiddetto </w:t>
      </w:r>
      <w:r w:rsidR="00A67DD4">
        <w:rPr>
          <w:rFonts w:cs="Arial"/>
          <w:bCs/>
          <w:szCs w:val="20"/>
          <w:lang w:val="it-IT"/>
        </w:rPr>
        <w:t>C</w:t>
      </w:r>
      <w:r w:rsidRPr="008E190B">
        <w:rPr>
          <w:rFonts w:cs="Arial"/>
          <w:bCs/>
          <w:szCs w:val="20"/>
          <w:lang w:val="it-IT"/>
        </w:rPr>
        <w:t>hannelizer, detto anche merge 3:1. Questo significa che vengono unite due linee di alimentazione e il troppo</w:t>
      </w:r>
      <w:r w:rsidR="00934F97">
        <w:rPr>
          <w:rFonts w:cs="Arial"/>
          <w:bCs/>
          <w:szCs w:val="20"/>
          <w:lang w:val="it-IT"/>
        </w:rPr>
        <w:t xml:space="preserve"> </w:t>
      </w:r>
      <w:r w:rsidRPr="008E190B">
        <w:rPr>
          <w:rFonts w:cs="Arial"/>
          <w:bCs/>
          <w:szCs w:val="20"/>
          <w:lang w:val="it-IT"/>
        </w:rPr>
        <w:t xml:space="preserve">pieno </w:t>
      </w:r>
      <w:r w:rsidR="00934F97">
        <w:rPr>
          <w:rFonts w:cs="Arial"/>
          <w:bCs/>
          <w:szCs w:val="20"/>
          <w:lang w:val="it-IT"/>
        </w:rPr>
        <w:t>del sorter</w:t>
      </w:r>
      <w:r w:rsidRPr="008E190B">
        <w:rPr>
          <w:rFonts w:cs="Arial"/>
          <w:bCs/>
          <w:szCs w:val="20"/>
          <w:lang w:val="it-IT"/>
        </w:rPr>
        <w:t xml:space="preserve">. </w:t>
      </w:r>
    </w:p>
    <w:p w:rsidR="006D1804" w:rsidRPr="008E190B" w:rsidRDefault="006D1804" w:rsidP="00B4502C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B05634" w:rsidRPr="008E190B" w:rsidRDefault="00FB38CD" w:rsidP="00B05634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Cs/>
          <w:szCs w:val="20"/>
          <w:lang w:val="it-IT"/>
        </w:rPr>
        <w:t xml:space="preserve">Per raggiungere le </w:t>
      </w:r>
      <w:r w:rsidR="00934F97">
        <w:rPr>
          <w:rFonts w:cs="Arial"/>
          <w:bCs/>
          <w:szCs w:val="20"/>
          <w:lang w:val="it-IT"/>
        </w:rPr>
        <w:t>prestazioni</w:t>
      </w:r>
      <w:r w:rsidRPr="008E190B">
        <w:rPr>
          <w:rFonts w:cs="Arial"/>
          <w:bCs/>
          <w:szCs w:val="20"/>
          <w:lang w:val="it-IT"/>
        </w:rPr>
        <w:t xml:space="preserve"> necessarie e</w:t>
      </w:r>
      <w:r w:rsidR="00A67DD4">
        <w:rPr>
          <w:rFonts w:cs="Arial"/>
          <w:bCs/>
          <w:szCs w:val="20"/>
          <w:lang w:val="it-IT"/>
        </w:rPr>
        <w:t xml:space="preserve"> consentire consegne rapide</w:t>
      </w:r>
      <w:r w:rsidR="00A67DD4" w:rsidRPr="00934F97">
        <w:rPr>
          <w:rFonts w:cs="Arial"/>
          <w:bCs/>
          <w:szCs w:val="20"/>
          <w:lang w:val="it-IT"/>
        </w:rPr>
        <w:t xml:space="preserve">, </w:t>
      </w:r>
      <w:r w:rsidR="00934F97" w:rsidRPr="00934F97">
        <w:rPr>
          <w:rFonts w:cs="Arial"/>
          <w:bCs/>
          <w:szCs w:val="20"/>
          <w:lang w:val="it-IT"/>
        </w:rPr>
        <w:t xml:space="preserve">le </w:t>
      </w:r>
      <w:r w:rsidR="00934F97" w:rsidRPr="00934F97">
        <w:rPr>
          <w:rFonts w:cs="Arial"/>
          <w:szCs w:val="20"/>
          <w:lang w:val="it-IT"/>
        </w:rPr>
        <w:t>unità</w:t>
      </w:r>
      <w:r w:rsidR="00A67DD4" w:rsidRPr="00934F97">
        <w:rPr>
          <w:rFonts w:cs="Arial"/>
          <w:bCs/>
          <w:szCs w:val="20"/>
          <w:lang w:val="it-IT"/>
        </w:rPr>
        <w:t xml:space="preserve"> </w:t>
      </w:r>
      <w:r w:rsidRPr="00934F97">
        <w:rPr>
          <w:rFonts w:cs="Arial"/>
          <w:bCs/>
          <w:szCs w:val="20"/>
          <w:lang w:val="it-IT"/>
        </w:rPr>
        <w:t>di</w:t>
      </w:r>
      <w:r w:rsidRPr="008E190B">
        <w:rPr>
          <w:rFonts w:cs="Arial"/>
          <w:bCs/>
          <w:szCs w:val="20"/>
          <w:lang w:val="it-IT"/>
        </w:rPr>
        <w:t xml:space="preserve"> carico sono alimentate con precisione e le prestazioni sono compensate automaticamente con i </w:t>
      </w:r>
      <w:r w:rsidR="00934F97">
        <w:rPr>
          <w:rFonts w:cs="Arial"/>
          <w:bCs/>
          <w:szCs w:val="20"/>
          <w:lang w:val="it-IT"/>
        </w:rPr>
        <w:t>di</w:t>
      </w:r>
      <w:r w:rsidRPr="008E190B">
        <w:rPr>
          <w:rFonts w:cs="Arial"/>
          <w:bCs/>
          <w:szCs w:val="20"/>
          <w:lang w:val="it-IT"/>
        </w:rPr>
        <w:t xml:space="preserve"> portata. La base del </w:t>
      </w:r>
      <w:r w:rsidR="00934F97">
        <w:rPr>
          <w:rFonts w:cs="Arial"/>
          <w:bCs/>
          <w:szCs w:val="20"/>
          <w:lang w:val="it-IT"/>
        </w:rPr>
        <w:t>controllo</w:t>
      </w:r>
      <w:r w:rsidRPr="008E190B">
        <w:rPr>
          <w:rFonts w:cs="Arial"/>
          <w:bCs/>
          <w:szCs w:val="20"/>
          <w:lang w:val="it-IT"/>
        </w:rPr>
        <w:t xml:space="preserve"> è costituita da algoritmi intelligenti, che intervengono automaticamente prima che si verifichi un'anomalia. I sottosistemi impiegati sono</w:t>
      </w:r>
      <w:r w:rsidR="00934F97">
        <w:rPr>
          <w:rFonts w:cs="Arial"/>
          <w:bCs/>
          <w:szCs w:val="20"/>
          <w:lang w:val="it-IT"/>
        </w:rPr>
        <w:t xml:space="preserve"> perfettamente integrati.</w:t>
      </w:r>
      <w:r w:rsidRPr="008E190B">
        <w:rPr>
          <w:rFonts w:cs="Arial"/>
          <w:bCs/>
          <w:szCs w:val="20"/>
          <w:lang w:val="it-IT"/>
        </w:rPr>
        <w:t xml:space="preserve"> Il </w:t>
      </w:r>
      <w:r w:rsidR="00934F97">
        <w:rPr>
          <w:rFonts w:cs="Arial"/>
          <w:bCs/>
          <w:szCs w:val="20"/>
          <w:lang w:val="it-IT"/>
        </w:rPr>
        <w:t xml:space="preserve">controllo </w:t>
      </w:r>
      <w:r w:rsidRPr="008E190B">
        <w:rPr>
          <w:rFonts w:cs="Arial"/>
          <w:bCs/>
          <w:szCs w:val="20"/>
          <w:lang w:val="it-IT"/>
        </w:rPr>
        <w:t xml:space="preserve">intelligente e gli elevati standard di qualità di hardware e software garantiscono minimi difetti di evacuazione. </w:t>
      </w:r>
    </w:p>
    <w:p w:rsidR="00A310DB" w:rsidRPr="008E190B" w:rsidRDefault="00A310DB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A310DB" w:rsidRPr="008E190B" w:rsidRDefault="00A310DB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8E190B">
        <w:rPr>
          <w:rFonts w:cs="Arial"/>
          <w:b/>
          <w:bCs/>
          <w:szCs w:val="20"/>
          <w:lang w:val="it-IT"/>
        </w:rPr>
        <w:t>Massima disponibilità e flessibilità</w:t>
      </w:r>
    </w:p>
    <w:p w:rsidR="00264C02" w:rsidRPr="008E190B" w:rsidRDefault="00264C02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9B51CF" w:rsidRPr="008E190B" w:rsidRDefault="00065A72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Cs/>
          <w:szCs w:val="20"/>
          <w:lang w:val="it-IT"/>
        </w:rPr>
        <w:t xml:space="preserve">Al centro delle </w:t>
      </w:r>
      <w:proofErr w:type="spellStart"/>
      <w:r w:rsidRPr="008E190B">
        <w:rPr>
          <w:rFonts w:cs="Arial"/>
          <w:bCs/>
          <w:szCs w:val="20"/>
          <w:lang w:val="it-IT"/>
        </w:rPr>
        <w:t>rifIessioni</w:t>
      </w:r>
      <w:proofErr w:type="spellEnd"/>
      <w:r w:rsidRPr="008E190B">
        <w:rPr>
          <w:rFonts w:cs="Arial"/>
          <w:bCs/>
          <w:szCs w:val="20"/>
          <w:lang w:val="it-IT"/>
        </w:rPr>
        <w:t xml:space="preserve"> è sempre stato il tema della flessibilità, all'insegna del motto: "</w:t>
      </w:r>
      <w:proofErr w:type="spellStart"/>
      <w:r w:rsidRPr="008E190B">
        <w:rPr>
          <w:rFonts w:cs="Arial"/>
          <w:bCs/>
          <w:szCs w:val="20"/>
          <w:lang w:val="it-IT"/>
        </w:rPr>
        <w:t>Change</w:t>
      </w:r>
      <w:proofErr w:type="spellEnd"/>
      <w:r w:rsidRPr="008E190B">
        <w:rPr>
          <w:rFonts w:cs="Arial"/>
          <w:bCs/>
          <w:szCs w:val="20"/>
          <w:lang w:val="it-IT"/>
        </w:rPr>
        <w:t xml:space="preserve"> as your business changes". Gli utenti possono</w:t>
      </w:r>
      <w:r w:rsidR="00A67DD4">
        <w:rPr>
          <w:rFonts w:cs="Arial"/>
          <w:bCs/>
          <w:szCs w:val="20"/>
          <w:lang w:val="it-IT"/>
        </w:rPr>
        <w:t xml:space="preserve"> </w:t>
      </w:r>
      <w:r w:rsidR="00934F97">
        <w:rPr>
          <w:rFonts w:cs="Arial"/>
          <w:bCs/>
          <w:szCs w:val="20"/>
          <w:lang w:val="it-IT"/>
        </w:rPr>
        <w:t>impiegare</w:t>
      </w:r>
      <w:r w:rsidR="00A67DD4">
        <w:rPr>
          <w:rFonts w:cs="Arial"/>
          <w:bCs/>
          <w:szCs w:val="20"/>
          <w:lang w:val="it-IT"/>
        </w:rPr>
        <w:t xml:space="preserve"> </w:t>
      </w:r>
      <w:r w:rsidR="00934F97">
        <w:rPr>
          <w:rFonts w:cs="Arial"/>
          <w:bCs/>
          <w:szCs w:val="20"/>
          <w:lang w:val="it-IT"/>
        </w:rPr>
        <w:t>diverse unità</w:t>
      </w:r>
      <w:r w:rsidRPr="008E190B">
        <w:rPr>
          <w:rFonts w:cs="Arial"/>
          <w:bCs/>
          <w:szCs w:val="20"/>
          <w:lang w:val="it-IT"/>
        </w:rPr>
        <w:t xml:space="preserve"> di carico, indifferentemente </w:t>
      </w:r>
      <w:r w:rsidR="007712E6">
        <w:rPr>
          <w:rFonts w:cs="Arial"/>
          <w:bCs/>
          <w:szCs w:val="20"/>
          <w:lang w:val="it-IT"/>
        </w:rPr>
        <w:t>che si tratti</w:t>
      </w:r>
      <w:r w:rsidRPr="008E190B">
        <w:rPr>
          <w:rFonts w:cs="Arial"/>
          <w:bCs/>
          <w:szCs w:val="20"/>
          <w:lang w:val="it-IT"/>
        </w:rPr>
        <w:t xml:space="preserve"> di scatole, contenitori, vassoi o </w:t>
      </w:r>
      <w:proofErr w:type="spellStart"/>
      <w:r w:rsidRPr="008E190B">
        <w:rPr>
          <w:rFonts w:cs="Arial"/>
          <w:bCs/>
          <w:szCs w:val="20"/>
          <w:lang w:val="it-IT"/>
        </w:rPr>
        <w:t>paperbag</w:t>
      </w:r>
      <w:proofErr w:type="spellEnd"/>
      <w:r w:rsidRPr="008E190B">
        <w:rPr>
          <w:rFonts w:cs="Arial"/>
          <w:bCs/>
          <w:szCs w:val="20"/>
          <w:lang w:val="it-IT"/>
        </w:rPr>
        <w:t xml:space="preserve">. Possono variare anche le dimensioni e il peso massimo. </w:t>
      </w:r>
      <w:r w:rsidR="007712E6">
        <w:rPr>
          <w:rFonts w:cs="Arial"/>
          <w:bCs/>
          <w:szCs w:val="20"/>
          <w:lang w:val="it-IT"/>
        </w:rPr>
        <w:t>Il sorter</w:t>
      </w:r>
      <w:r w:rsidRPr="008E190B">
        <w:rPr>
          <w:rFonts w:cs="Arial"/>
          <w:bCs/>
          <w:szCs w:val="20"/>
          <w:lang w:val="it-IT"/>
        </w:rPr>
        <w:t xml:space="preserve"> Natrix è stato sviluppato per i settori chiave di attività di TGW</w:t>
      </w:r>
      <w:r w:rsidR="007712E6">
        <w:rPr>
          <w:rFonts w:cs="Arial"/>
          <w:bCs/>
          <w:szCs w:val="20"/>
          <w:lang w:val="it-IT"/>
        </w:rPr>
        <w:t>:</w:t>
      </w:r>
      <w:r w:rsidRPr="008E190B">
        <w:rPr>
          <w:rFonts w:cs="Arial"/>
          <w:bCs/>
          <w:szCs w:val="20"/>
          <w:lang w:val="it-IT"/>
        </w:rPr>
        <w:t xml:space="preserve"> moda, generi alimentari, beni di consumo e </w:t>
      </w:r>
      <w:r w:rsidR="007712E6">
        <w:rPr>
          <w:rFonts w:cs="Arial"/>
          <w:bCs/>
          <w:szCs w:val="20"/>
          <w:lang w:val="it-IT"/>
        </w:rPr>
        <w:t xml:space="preserve">prodotti industriali. </w:t>
      </w:r>
      <w:proofErr w:type="gramStart"/>
      <w:r w:rsidR="007712E6">
        <w:rPr>
          <w:rFonts w:cs="Arial"/>
          <w:bCs/>
          <w:szCs w:val="20"/>
          <w:lang w:val="it-IT"/>
        </w:rPr>
        <w:t>E’</w:t>
      </w:r>
      <w:proofErr w:type="gramEnd"/>
      <w:r w:rsidR="007712E6">
        <w:rPr>
          <w:rFonts w:cs="Arial"/>
          <w:bCs/>
          <w:szCs w:val="20"/>
          <w:lang w:val="it-IT"/>
        </w:rPr>
        <w:t xml:space="preserve"> </w:t>
      </w:r>
      <w:r w:rsidRPr="008E190B">
        <w:rPr>
          <w:rFonts w:cs="Arial"/>
          <w:bCs/>
          <w:szCs w:val="20"/>
          <w:lang w:val="it-IT"/>
        </w:rPr>
        <w:t>applicabile sia per modelli omni-channel o e-commerce sia per la fornitura alle filiali.</w:t>
      </w:r>
    </w:p>
    <w:p w:rsidR="009B51CF" w:rsidRPr="008E190B" w:rsidRDefault="009B51CF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A87090" w:rsidRPr="008E190B" w:rsidRDefault="00A87090" w:rsidP="004C4ACF">
      <w:pPr>
        <w:spacing w:line="360" w:lineRule="auto"/>
        <w:ind w:left="0" w:right="1693"/>
        <w:rPr>
          <w:rFonts w:cs="Arial"/>
          <w:b/>
          <w:bCs/>
          <w:szCs w:val="20"/>
          <w:lang w:val="it-IT"/>
        </w:rPr>
      </w:pPr>
      <w:r w:rsidRPr="008E190B">
        <w:rPr>
          <w:rFonts w:cs="Arial"/>
          <w:b/>
          <w:bCs/>
          <w:szCs w:val="20"/>
          <w:lang w:val="it-IT"/>
        </w:rPr>
        <w:t>Efficienza energetica in primo piano</w:t>
      </w:r>
    </w:p>
    <w:p w:rsidR="00A87090" w:rsidRPr="008E190B" w:rsidRDefault="00A87090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</w:p>
    <w:p w:rsidR="004C4ACF" w:rsidRPr="008E190B" w:rsidRDefault="00157D30" w:rsidP="004C4ACF">
      <w:pPr>
        <w:spacing w:line="360" w:lineRule="auto"/>
        <w:ind w:left="0" w:right="1693"/>
        <w:rPr>
          <w:rFonts w:cs="Arial"/>
          <w:bCs/>
          <w:szCs w:val="20"/>
          <w:lang w:val="it-IT"/>
        </w:rPr>
      </w:pPr>
      <w:r w:rsidRPr="008E190B">
        <w:rPr>
          <w:rFonts w:cs="Arial"/>
          <w:bCs/>
          <w:szCs w:val="20"/>
          <w:lang w:val="it-IT"/>
        </w:rPr>
        <w:t xml:space="preserve">Un algoritmo intelligente, che scandisce il ritmo, svolge un ruolo centrale per l'efficienza energetica dello smistatore Natrix. Se il fabbisogno è basso, il sistema consuma poca energia e solo quando è necessaria, il </w:t>
      </w:r>
      <w:r w:rsidR="007712E6">
        <w:rPr>
          <w:rFonts w:cs="Arial"/>
          <w:bCs/>
          <w:szCs w:val="20"/>
          <w:lang w:val="it-IT"/>
        </w:rPr>
        <w:t>controllo</w:t>
      </w:r>
      <w:r w:rsidRPr="008E190B">
        <w:rPr>
          <w:rFonts w:cs="Arial"/>
          <w:bCs/>
          <w:szCs w:val="20"/>
          <w:lang w:val="it-IT"/>
        </w:rPr>
        <w:t xml:space="preserve"> attiva la piena potenza. Una concezione verde dell'impianto generale comporta anche l'impiego di componenti a risparmio energetico. E i vantaggi non riguardano solo l'ambient</w:t>
      </w:r>
      <w:r w:rsidR="007712E6">
        <w:rPr>
          <w:rFonts w:cs="Arial"/>
          <w:bCs/>
          <w:szCs w:val="20"/>
          <w:lang w:val="it-IT"/>
        </w:rPr>
        <w:t>e ma anche le casse aziendali</w:t>
      </w:r>
      <w:r w:rsidRPr="008E190B">
        <w:rPr>
          <w:rFonts w:cs="Arial"/>
          <w:bCs/>
          <w:szCs w:val="20"/>
          <w:lang w:val="it-IT"/>
        </w:rPr>
        <w:t>. Grazie all'utilizzo di componenti di alta qualità si riducono i costi di manutenzione e si prolungano i relativi intervalli</w:t>
      </w:r>
      <w:r w:rsidR="007712E6">
        <w:rPr>
          <w:rFonts w:cs="Arial"/>
          <w:bCs/>
          <w:szCs w:val="20"/>
          <w:lang w:val="it-IT"/>
        </w:rPr>
        <w:t xml:space="preserve"> degli interventi</w:t>
      </w:r>
      <w:r w:rsidRPr="008E190B">
        <w:rPr>
          <w:rFonts w:cs="Arial"/>
          <w:bCs/>
          <w:szCs w:val="20"/>
          <w:lang w:val="it-IT"/>
        </w:rPr>
        <w:t>. Tutto questo contribuisce in modo determinante a mantenere basso il costo totale di proprietà</w:t>
      </w:r>
      <w:r w:rsidR="003736B6">
        <w:rPr>
          <w:rFonts w:cs="Arial"/>
          <w:bCs/>
          <w:szCs w:val="20"/>
          <w:lang w:val="it-IT"/>
        </w:rPr>
        <w:t xml:space="preserve"> ed esercizio</w:t>
      </w:r>
      <w:r w:rsidRPr="008E190B">
        <w:rPr>
          <w:rFonts w:cs="Arial"/>
          <w:bCs/>
          <w:szCs w:val="20"/>
          <w:lang w:val="it-IT"/>
        </w:rPr>
        <w:t xml:space="preserve"> (Total Cost of </w:t>
      </w:r>
      <w:proofErr w:type="spellStart"/>
      <w:r w:rsidRPr="008E190B">
        <w:rPr>
          <w:rFonts w:cs="Arial"/>
          <w:bCs/>
          <w:szCs w:val="20"/>
          <w:lang w:val="it-IT"/>
        </w:rPr>
        <w:t>Ownership</w:t>
      </w:r>
      <w:proofErr w:type="spellEnd"/>
      <w:r w:rsidRPr="008E190B">
        <w:rPr>
          <w:rFonts w:cs="Arial"/>
          <w:bCs/>
          <w:szCs w:val="20"/>
          <w:lang w:val="it-IT"/>
        </w:rPr>
        <w:t>).</w:t>
      </w:r>
    </w:p>
    <w:p w:rsidR="00473B5A" w:rsidRDefault="00473B5A" w:rsidP="006231AE">
      <w:pPr>
        <w:spacing w:line="360" w:lineRule="auto"/>
        <w:ind w:left="0" w:right="1693"/>
        <w:rPr>
          <w:rFonts w:cs="Arial"/>
          <w:szCs w:val="20"/>
          <w:lang w:val="it-IT"/>
        </w:rPr>
      </w:pPr>
    </w:p>
    <w:p w:rsidR="00887EF0" w:rsidRDefault="00887EF0" w:rsidP="006231AE">
      <w:pPr>
        <w:spacing w:line="360" w:lineRule="auto"/>
        <w:ind w:left="0" w:right="1693"/>
        <w:rPr>
          <w:rFonts w:cs="Arial"/>
          <w:szCs w:val="20"/>
          <w:lang w:val="it-IT"/>
        </w:rPr>
      </w:pPr>
    </w:p>
    <w:p w:rsidR="00887EF0" w:rsidRDefault="00887EF0" w:rsidP="006231AE">
      <w:pPr>
        <w:spacing w:line="360" w:lineRule="auto"/>
        <w:ind w:left="0" w:right="1693"/>
        <w:rPr>
          <w:rFonts w:cs="Arial"/>
          <w:szCs w:val="20"/>
          <w:lang w:val="it-IT"/>
        </w:rPr>
      </w:pPr>
    </w:p>
    <w:p w:rsidR="00887EF0" w:rsidRPr="008E190B" w:rsidRDefault="00887EF0" w:rsidP="006231AE">
      <w:pPr>
        <w:spacing w:line="360" w:lineRule="auto"/>
        <w:ind w:left="0" w:right="1693"/>
        <w:rPr>
          <w:rFonts w:cs="Arial"/>
          <w:szCs w:val="20"/>
          <w:lang w:val="it-IT"/>
        </w:rPr>
      </w:pPr>
    </w:p>
    <w:p w:rsidR="00264FCF" w:rsidRDefault="00887EF0" w:rsidP="003C0CE6">
      <w:pPr>
        <w:spacing w:line="360" w:lineRule="auto"/>
        <w:ind w:left="0" w:right="1693"/>
        <w:rPr>
          <w:rStyle w:val="Hyperlink"/>
          <w:lang w:val="en-AU"/>
        </w:rPr>
      </w:pPr>
      <w:hyperlink r:id="rId11" w:history="1">
        <w:r w:rsidR="00A82260" w:rsidRPr="008E190B">
          <w:rPr>
            <w:rStyle w:val="Hyperlink"/>
            <w:lang w:val="en-US"/>
          </w:rPr>
          <w:t>www.tgw-group.com</w:t>
        </w:r>
      </w:hyperlink>
    </w:p>
    <w:p w:rsidR="00A05243" w:rsidRDefault="00A05243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 w:rsidRPr="008E190B">
        <w:rPr>
          <w:rStyle w:val="Hyperlink"/>
          <w:b/>
          <w:color w:val="auto"/>
          <w:u w:val="none"/>
          <w:lang w:val="en-US"/>
        </w:rPr>
        <w:lastRenderedPageBreak/>
        <w:t>Informazioni</w:t>
      </w:r>
      <w:proofErr w:type="spellEnd"/>
      <w:r w:rsidRPr="008E190B">
        <w:rPr>
          <w:rStyle w:val="Hyperlink"/>
          <w:b/>
          <w:color w:val="auto"/>
          <w:u w:val="none"/>
          <w:lang w:val="en-US"/>
        </w:rPr>
        <w:t xml:space="preserve"> </w:t>
      </w:r>
      <w:proofErr w:type="spellStart"/>
      <w:r w:rsidRPr="008E190B">
        <w:rPr>
          <w:rStyle w:val="Hyperlink"/>
          <w:b/>
          <w:color w:val="auto"/>
          <w:u w:val="none"/>
          <w:lang w:val="en-US"/>
        </w:rPr>
        <w:t>sul</w:t>
      </w:r>
      <w:proofErr w:type="spellEnd"/>
      <w:r w:rsidRPr="008E190B">
        <w:rPr>
          <w:rStyle w:val="Hyperlink"/>
          <w:b/>
          <w:color w:val="auto"/>
          <w:u w:val="none"/>
          <w:lang w:val="en-US"/>
        </w:rPr>
        <w:t xml:space="preserve"> TGW Logistics Group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TGW Logistics Group è un'azienda fornitrice di soluzioni per l'</w:t>
      </w:r>
      <w:proofErr w:type="spellStart"/>
      <w:r w:rsidRPr="008E190B">
        <w:rPr>
          <w:rStyle w:val="Hyperlink"/>
          <w:color w:val="auto"/>
          <w:u w:val="none"/>
          <w:lang w:val="it-IT"/>
        </w:rPr>
        <w:t>intralogistica</w:t>
      </w:r>
      <w:proofErr w:type="spellEnd"/>
      <w:r w:rsidRPr="008E190B">
        <w:rPr>
          <w:rStyle w:val="Hyperlink"/>
          <w:color w:val="auto"/>
          <w:u w:val="none"/>
          <w:lang w:val="it-IT"/>
        </w:rPr>
        <w:t xml:space="preserve"> di primaria importanza a livello internazionale. Da oltre 50 anni l'azienda austriaca specializzata in impianti automatizzati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Il gruppo TGW Logistics Group ha filiali in Europa, Cina e USA e può contare su oltre 4.000 collaboratori in tutto il mondo. Nell'esercizio fiscale 2012/2021 l'azienda ha ottenuto un fatturato complessivo di 813 milioni di euro.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it-IT"/>
        </w:rPr>
      </w:pPr>
      <w:r w:rsidRPr="008E190B">
        <w:rPr>
          <w:rStyle w:val="Hyperlink"/>
          <w:b/>
          <w:color w:val="auto"/>
          <w:u w:val="none"/>
          <w:lang w:val="it-IT"/>
        </w:rPr>
        <w:t>Fotografie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È permessa la pubblicazione gratuita fornendo l'indicazione della fonte e per i comunicati stampa che hanno come oggetto principalmen</w:t>
      </w:r>
      <w:r w:rsidR="00660584">
        <w:rPr>
          <w:rStyle w:val="Hyperlink"/>
          <w:color w:val="auto"/>
          <w:u w:val="none"/>
          <w:lang w:val="it-IT"/>
        </w:rPr>
        <w:t>te il TGW Logistics Group GmbH.</w:t>
      </w:r>
      <w:r w:rsidRPr="008E190B">
        <w:rPr>
          <w:rStyle w:val="Hyperlink"/>
          <w:color w:val="auto"/>
          <w:u w:val="none"/>
          <w:lang w:val="it-IT"/>
        </w:rPr>
        <w:t xml:space="preserve"> La pubblicazione a scopi pubblicitari non è gratuita.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it-IT"/>
        </w:rPr>
      </w:pPr>
      <w:r w:rsidRPr="008E190B">
        <w:rPr>
          <w:rStyle w:val="Hyperlink"/>
          <w:b/>
          <w:color w:val="auto"/>
          <w:u w:val="none"/>
          <w:lang w:val="it-IT"/>
        </w:rPr>
        <w:t>Contatti: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TGW Logistics Group GmbH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A-4614 Marchtrenk, Ludwig Szinicz Straße 3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proofErr w:type="spellStart"/>
      <w:r w:rsidRPr="008E190B">
        <w:rPr>
          <w:rStyle w:val="Hyperlink"/>
          <w:color w:val="auto"/>
          <w:u w:val="none"/>
          <w:lang w:val="it-IT"/>
        </w:rPr>
        <w:t>Tel</w:t>
      </w:r>
      <w:proofErr w:type="spellEnd"/>
      <w:r w:rsidRPr="008E190B">
        <w:rPr>
          <w:rStyle w:val="Hyperlink"/>
          <w:color w:val="auto"/>
          <w:u w:val="none"/>
          <w:lang w:val="it-IT"/>
        </w:rPr>
        <w:t>: +</w:t>
      </w:r>
      <w:proofErr w:type="gramStart"/>
      <w:r w:rsidRPr="008E190B">
        <w:rPr>
          <w:rStyle w:val="Hyperlink"/>
          <w:color w:val="auto"/>
          <w:u w:val="none"/>
          <w:lang w:val="it-IT"/>
        </w:rPr>
        <w:t>43.(</w:t>
      </w:r>
      <w:proofErr w:type="gramEnd"/>
      <w:r w:rsidRPr="008E190B">
        <w:rPr>
          <w:rStyle w:val="Hyperlink"/>
          <w:color w:val="auto"/>
          <w:u w:val="none"/>
          <w:lang w:val="it-IT"/>
        </w:rPr>
        <w:t>0)50.486-0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Fax: +</w:t>
      </w:r>
      <w:proofErr w:type="gramStart"/>
      <w:r w:rsidRPr="008E190B">
        <w:rPr>
          <w:rStyle w:val="Hyperlink"/>
          <w:color w:val="auto"/>
          <w:u w:val="none"/>
          <w:lang w:val="it-IT"/>
        </w:rPr>
        <w:t>43.(</w:t>
      </w:r>
      <w:proofErr w:type="gramEnd"/>
      <w:r w:rsidRPr="008E190B">
        <w:rPr>
          <w:rStyle w:val="Hyperlink"/>
          <w:color w:val="auto"/>
          <w:u w:val="none"/>
          <w:lang w:val="it-IT"/>
        </w:rPr>
        <w:t>0)50.486-31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E-mail: tgw@tgw-group.com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F92A0D" w:rsidRPr="008E190B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F92A0D" w:rsidRPr="00934F97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proofErr w:type="spellStart"/>
      <w:r w:rsidRPr="00934F97">
        <w:rPr>
          <w:rStyle w:val="Hyperlink"/>
          <w:color w:val="auto"/>
          <w:u w:val="none"/>
          <w:lang w:val="en-GB"/>
        </w:rPr>
        <w:t>Contatto</w:t>
      </w:r>
      <w:proofErr w:type="spellEnd"/>
      <w:r w:rsidRPr="00934F97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934F97">
        <w:rPr>
          <w:rStyle w:val="Hyperlink"/>
          <w:color w:val="auto"/>
          <w:u w:val="none"/>
          <w:lang w:val="en-GB"/>
        </w:rPr>
        <w:t>stampa</w:t>
      </w:r>
      <w:proofErr w:type="spellEnd"/>
      <w:r w:rsidRPr="00934F97">
        <w:rPr>
          <w:rStyle w:val="Hyperlink"/>
          <w:color w:val="auto"/>
          <w:u w:val="none"/>
          <w:lang w:val="en-GB"/>
        </w:rPr>
        <w:t>:</w:t>
      </w:r>
    </w:p>
    <w:p w:rsidR="00F92A0D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Alexander Tahedl</w:t>
      </w: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Communications Specialist</w:t>
      </w: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Tel: +43</w:t>
      </w:r>
      <w:proofErr w:type="gramStart"/>
      <w:r w:rsidRPr="00934F97">
        <w:rPr>
          <w:rStyle w:val="Hyperlink"/>
          <w:color w:val="auto"/>
          <w:u w:val="none"/>
          <w:lang w:val="en-GB"/>
        </w:rPr>
        <w:t>.(</w:t>
      </w:r>
      <w:proofErr w:type="gramEnd"/>
      <w:r w:rsidRPr="00934F97">
        <w:rPr>
          <w:rStyle w:val="Hyperlink"/>
          <w:color w:val="auto"/>
          <w:u w:val="none"/>
          <w:lang w:val="en-GB"/>
        </w:rPr>
        <w:t>0)50.486-2267</w:t>
      </w: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proofErr w:type="gramStart"/>
      <w:r w:rsidRPr="00934F97">
        <w:rPr>
          <w:rStyle w:val="Hyperlink"/>
          <w:color w:val="auto"/>
          <w:u w:val="none"/>
          <w:lang w:val="en-GB"/>
        </w:rPr>
        <w:t>Cell.:</w:t>
      </w:r>
      <w:proofErr w:type="gramEnd"/>
      <w:r w:rsidRPr="00934F97">
        <w:rPr>
          <w:rStyle w:val="Hyperlink"/>
          <w:color w:val="auto"/>
          <w:u w:val="none"/>
          <w:lang w:val="en-GB"/>
        </w:rPr>
        <w:t xml:space="preserve"> +43.(0)664.88459713</w:t>
      </w:r>
    </w:p>
    <w:p w:rsidR="00BC7952" w:rsidRPr="00934F97" w:rsidRDefault="00BC7952" w:rsidP="00BC7952">
      <w:pPr>
        <w:spacing w:line="240" w:lineRule="auto"/>
        <w:ind w:left="0" w:right="1693"/>
        <w:rPr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alexander.tahedl@tgw-group.com</w:t>
      </w: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:rsidR="00F92A0D" w:rsidRPr="00934F97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Martin Kirchmayr</w:t>
      </w:r>
    </w:p>
    <w:p w:rsidR="00BC7952" w:rsidRPr="00934F97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934F97">
        <w:rPr>
          <w:rStyle w:val="Hyperlink"/>
          <w:color w:val="auto"/>
          <w:u w:val="none"/>
          <w:lang w:val="en-GB"/>
        </w:rPr>
        <w:t>Director Marketing &amp; Communications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proofErr w:type="spellStart"/>
      <w:r w:rsidRPr="008E190B">
        <w:rPr>
          <w:rStyle w:val="Hyperlink"/>
          <w:color w:val="auto"/>
          <w:u w:val="none"/>
          <w:lang w:val="it-IT"/>
        </w:rPr>
        <w:t>Tel</w:t>
      </w:r>
      <w:proofErr w:type="spellEnd"/>
      <w:r w:rsidRPr="008E190B">
        <w:rPr>
          <w:rStyle w:val="Hyperlink"/>
          <w:color w:val="auto"/>
          <w:u w:val="none"/>
          <w:lang w:val="it-IT"/>
        </w:rPr>
        <w:t>: +</w:t>
      </w:r>
      <w:proofErr w:type="gramStart"/>
      <w:r w:rsidRPr="008E190B">
        <w:rPr>
          <w:rStyle w:val="Hyperlink"/>
          <w:color w:val="auto"/>
          <w:u w:val="none"/>
          <w:lang w:val="it-IT"/>
        </w:rPr>
        <w:t>43.(</w:t>
      </w:r>
      <w:proofErr w:type="gramEnd"/>
      <w:r w:rsidRPr="008E190B">
        <w:rPr>
          <w:rStyle w:val="Hyperlink"/>
          <w:color w:val="auto"/>
          <w:u w:val="none"/>
          <w:lang w:val="it-IT"/>
        </w:rPr>
        <w:t>0)50.486-1382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Cell.: +</w:t>
      </w:r>
      <w:proofErr w:type="gramStart"/>
      <w:r w:rsidRPr="008E190B">
        <w:rPr>
          <w:rStyle w:val="Hyperlink"/>
          <w:color w:val="auto"/>
          <w:u w:val="none"/>
          <w:lang w:val="it-IT"/>
        </w:rPr>
        <w:t>43.(</w:t>
      </w:r>
      <w:proofErr w:type="gramEnd"/>
      <w:r w:rsidRPr="008E190B">
        <w:rPr>
          <w:rStyle w:val="Hyperlink"/>
          <w:color w:val="auto"/>
          <w:u w:val="none"/>
          <w:lang w:val="it-IT"/>
        </w:rPr>
        <w:t>0)664.8187423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8E190B">
        <w:rPr>
          <w:rStyle w:val="Hyperlink"/>
          <w:color w:val="auto"/>
          <w:u w:val="none"/>
          <w:lang w:val="it-IT"/>
        </w:rPr>
        <w:t>martin.kirchmayr@tgw-group.com</w:t>
      </w:r>
    </w:p>
    <w:p w:rsidR="00BC7952" w:rsidRPr="008E190B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</w:p>
    <w:p w:rsidR="00BC7952" w:rsidRPr="008E190B" w:rsidRDefault="00BC7952" w:rsidP="00BC7952">
      <w:pPr>
        <w:spacing w:line="240" w:lineRule="auto"/>
        <w:ind w:left="0" w:right="1693"/>
        <w:rPr>
          <w:lang w:val="it-IT"/>
        </w:rPr>
      </w:pPr>
    </w:p>
    <w:p w:rsidR="006231AE" w:rsidRPr="008E190B" w:rsidRDefault="006231AE" w:rsidP="006231AE">
      <w:pPr>
        <w:ind w:left="0" w:right="1693"/>
        <w:rPr>
          <w:lang w:val="it-IT"/>
        </w:rPr>
      </w:pPr>
    </w:p>
    <w:sectPr w:rsidR="006231AE" w:rsidRPr="008E190B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3E" w:rsidRDefault="00396E3E" w:rsidP="00764006">
      <w:pPr>
        <w:spacing w:line="240" w:lineRule="auto"/>
      </w:pPr>
      <w:r>
        <w:separator/>
      </w:r>
    </w:p>
  </w:endnote>
  <w:endnote w:type="continuationSeparator" w:id="0">
    <w:p w:rsidR="00396E3E" w:rsidRDefault="00396E3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:rsidTr="00A345ED">
      <w:tc>
        <w:tcPr>
          <w:tcW w:w="6474" w:type="dxa"/>
        </w:tcPr>
        <w:p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887EF0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887EF0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3E" w:rsidRDefault="00396E3E" w:rsidP="00764006">
      <w:pPr>
        <w:spacing w:line="240" w:lineRule="auto"/>
      </w:pPr>
      <w:r>
        <w:separator/>
      </w:r>
    </w:p>
  </w:footnote>
  <w:footnote w:type="continuationSeparator" w:id="0">
    <w:p w:rsidR="00396E3E" w:rsidRDefault="00396E3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12" w:rsidRDefault="00B72812" w:rsidP="00C54F6A">
    <w:pPr>
      <w:pStyle w:val="Dokumententitel"/>
    </w:pPr>
  </w:p>
  <w:p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6002"/>
    <w:multiLevelType w:val="hybridMultilevel"/>
    <w:tmpl w:val="DC4AA5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2B5D"/>
    <w:multiLevelType w:val="hybridMultilevel"/>
    <w:tmpl w:val="8AD0BB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1ED88D20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438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4F2D"/>
    <w:rsid w:val="00065A72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44F2"/>
    <w:rsid w:val="000B5A93"/>
    <w:rsid w:val="000B5C66"/>
    <w:rsid w:val="000B6542"/>
    <w:rsid w:val="000B65C7"/>
    <w:rsid w:val="000B65E5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C59D8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3F"/>
    <w:rsid w:val="001338DB"/>
    <w:rsid w:val="00134AF1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D14"/>
    <w:rsid w:val="00163C8D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754C6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7269"/>
    <w:rsid w:val="001A0128"/>
    <w:rsid w:val="001A2DCB"/>
    <w:rsid w:val="001A33BD"/>
    <w:rsid w:val="001A4166"/>
    <w:rsid w:val="001A58D9"/>
    <w:rsid w:val="001A6800"/>
    <w:rsid w:val="001A6E46"/>
    <w:rsid w:val="001A721F"/>
    <w:rsid w:val="001A743C"/>
    <w:rsid w:val="001A7904"/>
    <w:rsid w:val="001B0DAB"/>
    <w:rsid w:val="001B28D5"/>
    <w:rsid w:val="001B450B"/>
    <w:rsid w:val="001B46E9"/>
    <w:rsid w:val="001B4929"/>
    <w:rsid w:val="001B7227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4808"/>
    <w:rsid w:val="00226B41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185F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C75B0"/>
    <w:rsid w:val="002D039B"/>
    <w:rsid w:val="002D1970"/>
    <w:rsid w:val="002D44D3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8A9"/>
    <w:rsid w:val="0032656C"/>
    <w:rsid w:val="003269E1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6B6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528D"/>
    <w:rsid w:val="00396E3E"/>
    <w:rsid w:val="003977E0"/>
    <w:rsid w:val="003A1305"/>
    <w:rsid w:val="003A1D5D"/>
    <w:rsid w:val="003A23C4"/>
    <w:rsid w:val="003A2E9E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35"/>
    <w:rsid w:val="003C0CE6"/>
    <w:rsid w:val="003C12E8"/>
    <w:rsid w:val="003C1FED"/>
    <w:rsid w:val="003C2604"/>
    <w:rsid w:val="003C3E15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23C"/>
    <w:rsid w:val="00401382"/>
    <w:rsid w:val="00401817"/>
    <w:rsid w:val="004022C2"/>
    <w:rsid w:val="00406298"/>
    <w:rsid w:val="0040634E"/>
    <w:rsid w:val="0040644C"/>
    <w:rsid w:val="004067A6"/>
    <w:rsid w:val="00412090"/>
    <w:rsid w:val="00413E54"/>
    <w:rsid w:val="00415EE9"/>
    <w:rsid w:val="00416095"/>
    <w:rsid w:val="00420D2C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518C"/>
    <w:rsid w:val="004C675F"/>
    <w:rsid w:val="004C74E5"/>
    <w:rsid w:val="004D3103"/>
    <w:rsid w:val="004D3264"/>
    <w:rsid w:val="004D3481"/>
    <w:rsid w:val="004D52CF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3F04"/>
    <w:rsid w:val="004F4796"/>
    <w:rsid w:val="004F4842"/>
    <w:rsid w:val="004F4BFF"/>
    <w:rsid w:val="004F6224"/>
    <w:rsid w:val="004F6ECF"/>
    <w:rsid w:val="0050153C"/>
    <w:rsid w:val="00502112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2A0E"/>
    <w:rsid w:val="00523149"/>
    <w:rsid w:val="005238D5"/>
    <w:rsid w:val="005248E5"/>
    <w:rsid w:val="0052559B"/>
    <w:rsid w:val="005331E2"/>
    <w:rsid w:val="00534D59"/>
    <w:rsid w:val="00537584"/>
    <w:rsid w:val="005401C3"/>
    <w:rsid w:val="0054155C"/>
    <w:rsid w:val="0054291F"/>
    <w:rsid w:val="00542C87"/>
    <w:rsid w:val="00543928"/>
    <w:rsid w:val="00546AC8"/>
    <w:rsid w:val="00551EBC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5D48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77A9"/>
    <w:rsid w:val="006437FF"/>
    <w:rsid w:val="00643CDE"/>
    <w:rsid w:val="00644F94"/>
    <w:rsid w:val="006474AB"/>
    <w:rsid w:val="00647DAE"/>
    <w:rsid w:val="00650DF4"/>
    <w:rsid w:val="006527DF"/>
    <w:rsid w:val="006564C4"/>
    <w:rsid w:val="00656861"/>
    <w:rsid w:val="00657E3E"/>
    <w:rsid w:val="00657F6B"/>
    <w:rsid w:val="00660132"/>
    <w:rsid w:val="00660584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5B92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6FE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12E6"/>
    <w:rsid w:val="007729BE"/>
    <w:rsid w:val="00772BDC"/>
    <w:rsid w:val="00772FEA"/>
    <w:rsid w:val="007744C2"/>
    <w:rsid w:val="00775A54"/>
    <w:rsid w:val="00776267"/>
    <w:rsid w:val="007771C5"/>
    <w:rsid w:val="00780173"/>
    <w:rsid w:val="007839B3"/>
    <w:rsid w:val="007870FB"/>
    <w:rsid w:val="00787E86"/>
    <w:rsid w:val="007922BE"/>
    <w:rsid w:val="007927AE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4174"/>
    <w:rsid w:val="00805172"/>
    <w:rsid w:val="00805546"/>
    <w:rsid w:val="00806BE4"/>
    <w:rsid w:val="00806F99"/>
    <w:rsid w:val="00807724"/>
    <w:rsid w:val="00810B98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17A72"/>
    <w:rsid w:val="00820146"/>
    <w:rsid w:val="008212BD"/>
    <w:rsid w:val="0082145B"/>
    <w:rsid w:val="00821A26"/>
    <w:rsid w:val="00821F27"/>
    <w:rsid w:val="00822882"/>
    <w:rsid w:val="00823625"/>
    <w:rsid w:val="00825383"/>
    <w:rsid w:val="008268AB"/>
    <w:rsid w:val="00830ECC"/>
    <w:rsid w:val="008324D5"/>
    <w:rsid w:val="00832ACB"/>
    <w:rsid w:val="00832CDA"/>
    <w:rsid w:val="008336D7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A02"/>
    <w:rsid w:val="00855DE0"/>
    <w:rsid w:val="00855ECE"/>
    <w:rsid w:val="0085607B"/>
    <w:rsid w:val="00856E68"/>
    <w:rsid w:val="0086011B"/>
    <w:rsid w:val="00860B5B"/>
    <w:rsid w:val="00860B9E"/>
    <w:rsid w:val="00860C5A"/>
    <w:rsid w:val="0086499D"/>
    <w:rsid w:val="00864E86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87EF0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267E"/>
    <w:rsid w:val="008B465D"/>
    <w:rsid w:val="008B6062"/>
    <w:rsid w:val="008B6858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6A38"/>
    <w:rsid w:val="008C7CB8"/>
    <w:rsid w:val="008D0296"/>
    <w:rsid w:val="008D06BE"/>
    <w:rsid w:val="008D1D93"/>
    <w:rsid w:val="008D2658"/>
    <w:rsid w:val="008D3282"/>
    <w:rsid w:val="008D54BE"/>
    <w:rsid w:val="008D565D"/>
    <w:rsid w:val="008D5D3E"/>
    <w:rsid w:val="008D5D71"/>
    <w:rsid w:val="008D5F50"/>
    <w:rsid w:val="008D6A9B"/>
    <w:rsid w:val="008D7250"/>
    <w:rsid w:val="008E0327"/>
    <w:rsid w:val="008E190B"/>
    <w:rsid w:val="008E224F"/>
    <w:rsid w:val="008E286D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121BF"/>
    <w:rsid w:val="009123B7"/>
    <w:rsid w:val="00913084"/>
    <w:rsid w:val="009136D7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041B"/>
    <w:rsid w:val="009321FE"/>
    <w:rsid w:val="00934279"/>
    <w:rsid w:val="00934F97"/>
    <w:rsid w:val="00942462"/>
    <w:rsid w:val="009428A3"/>
    <w:rsid w:val="00942EDF"/>
    <w:rsid w:val="009440B4"/>
    <w:rsid w:val="0094458E"/>
    <w:rsid w:val="00946640"/>
    <w:rsid w:val="00951B7F"/>
    <w:rsid w:val="009560B9"/>
    <w:rsid w:val="00956F14"/>
    <w:rsid w:val="009572CC"/>
    <w:rsid w:val="009600F6"/>
    <w:rsid w:val="00960EC7"/>
    <w:rsid w:val="00963BEA"/>
    <w:rsid w:val="00965E18"/>
    <w:rsid w:val="00966694"/>
    <w:rsid w:val="00966AAB"/>
    <w:rsid w:val="00966D1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4D5"/>
    <w:rsid w:val="009B268D"/>
    <w:rsid w:val="009B3FC5"/>
    <w:rsid w:val="009B45D5"/>
    <w:rsid w:val="009B51CF"/>
    <w:rsid w:val="009B5A0C"/>
    <w:rsid w:val="009B6420"/>
    <w:rsid w:val="009B6DA3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7D6D"/>
    <w:rsid w:val="009E2728"/>
    <w:rsid w:val="009E2B08"/>
    <w:rsid w:val="009E4C9B"/>
    <w:rsid w:val="009E79F0"/>
    <w:rsid w:val="009F04AD"/>
    <w:rsid w:val="009F1969"/>
    <w:rsid w:val="009F287A"/>
    <w:rsid w:val="009F7A1B"/>
    <w:rsid w:val="00A00CCD"/>
    <w:rsid w:val="00A01046"/>
    <w:rsid w:val="00A018E2"/>
    <w:rsid w:val="00A01BF4"/>
    <w:rsid w:val="00A02064"/>
    <w:rsid w:val="00A02283"/>
    <w:rsid w:val="00A035F1"/>
    <w:rsid w:val="00A05243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310DB"/>
    <w:rsid w:val="00A31594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DD4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2260"/>
    <w:rsid w:val="00A8419E"/>
    <w:rsid w:val="00A8601C"/>
    <w:rsid w:val="00A86616"/>
    <w:rsid w:val="00A87090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2387"/>
    <w:rsid w:val="00AE2EC3"/>
    <w:rsid w:val="00AE4C42"/>
    <w:rsid w:val="00AE52AF"/>
    <w:rsid w:val="00AE53D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18E2"/>
    <w:rsid w:val="00B02F51"/>
    <w:rsid w:val="00B0311C"/>
    <w:rsid w:val="00B03296"/>
    <w:rsid w:val="00B03B65"/>
    <w:rsid w:val="00B05634"/>
    <w:rsid w:val="00B056AC"/>
    <w:rsid w:val="00B06010"/>
    <w:rsid w:val="00B0715C"/>
    <w:rsid w:val="00B0741F"/>
    <w:rsid w:val="00B07ECB"/>
    <w:rsid w:val="00B10CF5"/>
    <w:rsid w:val="00B11AE4"/>
    <w:rsid w:val="00B1229D"/>
    <w:rsid w:val="00B15735"/>
    <w:rsid w:val="00B166D6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1D07"/>
    <w:rsid w:val="00B4317D"/>
    <w:rsid w:val="00B436A2"/>
    <w:rsid w:val="00B43B92"/>
    <w:rsid w:val="00B4502C"/>
    <w:rsid w:val="00B45BF5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030"/>
    <w:rsid w:val="00B62DA0"/>
    <w:rsid w:val="00B64272"/>
    <w:rsid w:val="00B64531"/>
    <w:rsid w:val="00B645B5"/>
    <w:rsid w:val="00B64BF5"/>
    <w:rsid w:val="00B65ABB"/>
    <w:rsid w:val="00B6604B"/>
    <w:rsid w:val="00B72812"/>
    <w:rsid w:val="00B73A94"/>
    <w:rsid w:val="00B742B0"/>
    <w:rsid w:val="00B74A52"/>
    <w:rsid w:val="00B74AE4"/>
    <w:rsid w:val="00B74D4F"/>
    <w:rsid w:val="00B77485"/>
    <w:rsid w:val="00B7787C"/>
    <w:rsid w:val="00B8155C"/>
    <w:rsid w:val="00B83532"/>
    <w:rsid w:val="00B86319"/>
    <w:rsid w:val="00B86D50"/>
    <w:rsid w:val="00B9162E"/>
    <w:rsid w:val="00B918C6"/>
    <w:rsid w:val="00B91B2F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29C5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692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4E08"/>
    <w:rsid w:val="00C852EB"/>
    <w:rsid w:val="00C85531"/>
    <w:rsid w:val="00C8642A"/>
    <w:rsid w:val="00C8748C"/>
    <w:rsid w:val="00C918A8"/>
    <w:rsid w:val="00C91E59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0383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4C1"/>
    <w:rsid w:val="00D5569A"/>
    <w:rsid w:val="00D55EED"/>
    <w:rsid w:val="00D56E6F"/>
    <w:rsid w:val="00D57116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1988"/>
    <w:rsid w:val="00DD2E03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9D7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5941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475A1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D5843"/>
    <w:rsid w:val="00ED726C"/>
    <w:rsid w:val="00EE1A32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1555"/>
    <w:rsid w:val="00F149DA"/>
    <w:rsid w:val="00F14B50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8CD"/>
    <w:rsid w:val="00FB3EBD"/>
    <w:rsid w:val="00FB615F"/>
    <w:rsid w:val="00FB76E9"/>
    <w:rsid w:val="00FB7ED7"/>
    <w:rsid w:val="00FC12B9"/>
    <w:rsid w:val="00FC1FAB"/>
    <w:rsid w:val="00FC1FAC"/>
    <w:rsid w:val="00FC2065"/>
    <w:rsid w:val="00FC2498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30F1"/>
    <w:rsid w:val="00FF4367"/>
    <w:rsid w:val="00FF4984"/>
    <w:rsid w:val="00FF4E6E"/>
    <w:rsid w:val="00FF5C99"/>
    <w:rsid w:val="00FF62C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72547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8bbba48b-ed70-4d4f-bc70-b74f508f6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BDE58-811E-4847-BEE9-A1BADC88E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D2C57-7765-4121-9833-B5EBB62D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Lo smistatore Natrix di TGW: potente, efficiente, flessibile</vt:lpstr>
      <vt:lpstr>Lo smistatore Natrix di TGW: potente, efficiente, flessibile</vt:lpstr>
    </vt:vector>
  </TitlesOfParts>
  <Company>Klug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smistatore Natrix di TGW: potente, efficiente, flessibile</dc:title>
  <dc:subject/>
  <dc:creator>Tahedl Alexander</dc:creator>
  <cp:keywords>Lo smistatore Natrix di TGW: potente, efficiente, flessibile</cp:keywords>
  <dc:description/>
  <cp:lastModifiedBy>Tahedl Alexander</cp:lastModifiedBy>
  <cp:revision>38</cp:revision>
  <cp:lastPrinted>2022-02-02T15:07:00Z</cp:lastPrinted>
  <dcterms:created xsi:type="dcterms:W3CDTF">2022-02-10T10:57:00Z</dcterms:created>
  <dcterms:modified xsi:type="dcterms:W3CDTF">2022-03-30T06:39:00Z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