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88" w:rsidRPr="0068674C" w:rsidRDefault="006C1D8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:rsidR="00E55795" w:rsidRPr="00704672" w:rsidRDefault="00151502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6"/>
          <w:szCs w:val="26"/>
          <w:lang w:val="it-IT" w:eastAsia="en-US"/>
        </w:rPr>
      </w:pPr>
      <w:bookmarkStart w:id="0" w:name="_GoBack"/>
      <w:r w:rsidRPr="00704672">
        <w:rPr>
          <w:rFonts w:ascii="Arial" w:eastAsiaTheme="minorHAnsi" w:hAnsi="Arial" w:cs="Arial"/>
          <w:b/>
          <w:sz w:val="26"/>
          <w:szCs w:val="26"/>
          <w:lang w:val="it-IT"/>
        </w:rPr>
        <w:t>TGW accelera le prestazioni dello specialista belga nel settore grocery UpFresh</w:t>
      </w:r>
    </w:p>
    <w:bookmarkEnd w:id="0"/>
    <w:p w:rsidR="00E55795" w:rsidRPr="00704672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"/>
          <w:szCs w:val="2"/>
          <w:lang w:val="it-IT" w:eastAsia="en-US"/>
        </w:rPr>
      </w:pPr>
    </w:p>
    <w:p w:rsidR="00E55795" w:rsidRPr="00704672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:rsidR="00AE70B5" w:rsidRPr="00704672" w:rsidRDefault="00AE70B5" w:rsidP="00E31DE8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704672">
        <w:rPr>
          <w:rFonts w:ascii="Arial" w:eastAsiaTheme="minorHAnsi" w:hAnsi="Arial" w:cs="Arial"/>
          <w:b/>
          <w:sz w:val="22"/>
          <w:szCs w:val="22"/>
          <w:lang w:val="it-IT"/>
        </w:rPr>
        <w:t>L'automatizzazione dei processi manuali aumenta la flessibilità e riduce allo stesso tempo i costi d'esercizio</w:t>
      </w:r>
    </w:p>
    <w:p w:rsidR="00E55795" w:rsidRPr="00704672" w:rsidRDefault="00AE70B5" w:rsidP="0068674C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704672">
        <w:rPr>
          <w:rFonts w:ascii="Arial" w:eastAsiaTheme="minorHAnsi" w:hAnsi="Arial" w:cs="Arial"/>
          <w:b/>
          <w:sz w:val="22"/>
          <w:szCs w:val="22"/>
          <w:lang w:val="it-IT"/>
        </w:rPr>
        <w:t>TGW Warehouse Software pianifica, gestisce e sorveglia tutti i processi</w:t>
      </w:r>
    </w:p>
    <w:p w:rsidR="00356FC7" w:rsidRPr="00704672" w:rsidRDefault="00356FC7" w:rsidP="00E55795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it-IT" w:eastAsia="en-US"/>
        </w:rPr>
      </w:pPr>
      <w:r w:rsidRPr="00704672">
        <w:rPr>
          <w:rFonts w:ascii="Arial" w:eastAsiaTheme="minorHAnsi" w:hAnsi="Arial" w:cs="Arial"/>
          <w:b/>
          <w:sz w:val="22"/>
          <w:szCs w:val="22"/>
          <w:lang w:val="it-IT"/>
        </w:rPr>
        <w:t xml:space="preserve">Robot predispongono i pallet dei clienti e </w:t>
      </w:r>
      <w:proofErr w:type="spellStart"/>
      <w:r w:rsidRPr="00704672">
        <w:rPr>
          <w:rFonts w:ascii="Arial" w:eastAsiaTheme="minorHAnsi" w:hAnsi="Arial" w:cs="Arial"/>
          <w:b/>
          <w:sz w:val="22"/>
          <w:szCs w:val="22"/>
          <w:lang w:val="it-IT"/>
        </w:rPr>
        <w:t>depallettizzano</w:t>
      </w:r>
      <w:proofErr w:type="spellEnd"/>
      <w:r w:rsidRPr="00704672">
        <w:rPr>
          <w:rFonts w:ascii="Arial" w:eastAsiaTheme="minorHAnsi" w:hAnsi="Arial" w:cs="Arial"/>
          <w:b/>
          <w:sz w:val="22"/>
          <w:szCs w:val="22"/>
          <w:lang w:val="it-IT"/>
        </w:rPr>
        <w:t xml:space="preserve"> i contenitori vuoti</w:t>
      </w:r>
    </w:p>
    <w:p w:rsidR="00E55795" w:rsidRPr="00704672" w:rsidRDefault="00E5579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:rsidR="00361D14" w:rsidRPr="00704672" w:rsidRDefault="0025159E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704672">
        <w:rPr>
          <w:rFonts w:ascii="Arial" w:eastAsiaTheme="minorHAnsi" w:hAnsi="Arial" w:cs="Arial"/>
          <w:b/>
          <w:sz w:val="20"/>
          <w:szCs w:val="20"/>
          <w:lang w:val="it-IT"/>
        </w:rPr>
        <w:t>(Marchtrenk, 4</w:t>
      </w:r>
      <w:r w:rsidR="00361D14" w:rsidRPr="00704672">
        <w:rPr>
          <w:rFonts w:ascii="Arial" w:eastAsiaTheme="minorHAnsi" w:hAnsi="Arial" w:cs="Arial"/>
          <w:b/>
          <w:sz w:val="20"/>
          <w:szCs w:val="20"/>
          <w:lang w:val="it-IT"/>
        </w:rPr>
        <w:t xml:space="preserve"> </w:t>
      </w:r>
      <w:r w:rsidRPr="00704672">
        <w:rPr>
          <w:rFonts w:ascii="Arial" w:eastAsiaTheme="minorHAnsi" w:hAnsi="Arial" w:cs="Arial"/>
          <w:b/>
          <w:sz w:val="20"/>
          <w:szCs w:val="20"/>
          <w:lang w:val="it-IT"/>
        </w:rPr>
        <w:t>aprile</w:t>
      </w:r>
      <w:r w:rsidR="00361D14" w:rsidRPr="00704672">
        <w:rPr>
          <w:rFonts w:ascii="Arial" w:eastAsiaTheme="minorHAnsi" w:hAnsi="Arial" w:cs="Arial"/>
          <w:b/>
          <w:sz w:val="20"/>
          <w:szCs w:val="20"/>
          <w:lang w:val="it-IT"/>
        </w:rPr>
        <w:t xml:space="preserve"> 2022) </w:t>
      </w:r>
      <w:r w:rsidR="00704672">
        <w:rPr>
          <w:rFonts w:ascii="Arial" w:eastAsiaTheme="minorHAnsi" w:hAnsi="Arial" w:cs="Arial"/>
          <w:b/>
          <w:sz w:val="20"/>
          <w:szCs w:val="20"/>
          <w:lang w:val="it-IT"/>
        </w:rPr>
        <w:t>E</w:t>
      </w:r>
      <w:r w:rsidR="00704672" w:rsidRPr="00704672">
        <w:rPr>
          <w:rFonts w:ascii="Arial" w:eastAsiaTheme="minorHAnsi" w:hAnsi="Arial" w:cs="Arial"/>
          <w:b/>
          <w:sz w:val="20"/>
          <w:szCs w:val="20"/>
          <w:lang w:val="it-IT"/>
        </w:rPr>
        <w:t xml:space="preserve">ntro </w:t>
      </w:r>
      <w:proofErr w:type="gramStart"/>
      <w:r w:rsidR="00704672" w:rsidRPr="00704672">
        <w:rPr>
          <w:rFonts w:ascii="Arial" w:eastAsiaTheme="minorHAnsi" w:hAnsi="Arial" w:cs="Arial"/>
          <w:b/>
          <w:sz w:val="20"/>
          <w:szCs w:val="20"/>
          <w:lang w:val="it-IT"/>
        </w:rPr>
        <w:t>Novembre</w:t>
      </w:r>
      <w:proofErr w:type="gramEnd"/>
      <w:r w:rsidR="00704672" w:rsidRPr="00704672">
        <w:rPr>
          <w:rFonts w:ascii="Arial" w:eastAsiaTheme="minorHAnsi" w:hAnsi="Arial" w:cs="Arial"/>
          <w:b/>
          <w:sz w:val="20"/>
          <w:szCs w:val="20"/>
          <w:lang w:val="it-IT"/>
        </w:rPr>
        <w:t xml:space="preserve"> 2023 </w:t>
      </w:r>
      <w:r w:rsidR="00704672">
        <w:rPr>
          <w:rFonts w:ascii="Arial" w:eastAsiaTheme="minorHAnsi" w:hAnsi="Arial" w:cs="Arial"/>
          <w:b/>
          <w:sz w:val="20"/>
          <w:szCs w:val="20"/>
          <w:lang w:val="it-IT"/>
        </w:rPr>
        <w:t>n</w:t>
      </w:r>
      <w:r w:rsidR="00361D14" w:rsidRPr="00704672">
        <w:rPr>
          <w:rFonts w:ascii="Arial" w:eastAsiaTheme="minorHAnsi" w:hAnsi="Arial" w:cs="Arial"/>
          <w:b/>
          <w:sz w:val="20"/>
          <w:szCs w:val="20"/>
          <w:lang w:val="it-IT"/>
        </w:rPr>
        <w:t>ella città portuale di Ostend</w:t>
      </w:r>
      <w:r w:rsidR="00704672" w:rsidRPr="00704672">
        <w:rPr>
          <w:rFonts w:ascii="Arial" w:eastAsiaTheme="minorHAnsi" w:hAnsi="Arial" w:cs="Arial"/>
          <w:b/>
          <w:sz w:val="20"/>
          <w:szCs w:val="20"/>
          <w:lang w:val="it-IT"/>
        </w:rPr>
        <w:t>a</w:t>
      </w:r>
      <w:r w:rsidR="00361D14" w:rsidRPr="00704672">
        <w:rPr>
          <w:rFonts w:ascii="Arial" w:eastAsiaTheme="minorHAnsi" w:hAnsi="Arial" w:cs="Arial"/>
          <w:b/>
          <w:sz w:val="20"/>
          <w:szCs w:val="20"/>
          <w:lang w:val="it-IT"/>
        </w:rPr>
        <w:t xml:space="preserve"> TGW realizzerà un fulfillment center ad alte prestazioni per UpFresh. L'automatizzazione garantisce una considerevole flessibilità e supporta gli ambiziosi obiettivi di crescita dello specialista belga in generi alimentari.</w:t>
      </w:r>
    </w:p>
    <w:p w:rsidR="00022BA5" w:rsidRPr="00704672" w:rsidRDefault="00022BA5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361D14" w:rsidRPr="00704672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704672">
        <w:rPr>
          <w:rFonts w:ascii="Arial" w:eastAsiaTheme="minorHAnsi" w:hAnsi="Arial" w:cs="Arial"/>
          <w:sz w:val="20"/>
          <w:szCs w:val="20"/>
          <w:lang w:val="it-IT"/>
        </w:rPr>
        <w:t>UpFresh è uno dei principali grossisti di alimenti in Belgio e rifornisce più di 2.700 punti vendita con carne, formaggio, verdura e prodotti in offerta. La rapidità assume un ruolo centrale nel modello commerciale dell'azienda specializzata in vendite B2B. I clienti possono ordinare tutti i giorni della settimana e, per ordini effettuati entro le ore 18:00, l'assortimento di merce fresca selezionata viene consegnato in modo affidabile già il giorno successivo.</w:t>
      </w:r>
    </w:p>
    <w:p w:rsidR="00361D14" w:rsidRPr="00704672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361D14" w:rsidRPr="00704672" w:rsidRDefault="00735BBD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704672">
        <w:rPr>
          <w:rFonts w:ascii="Arial" w:eastAsiaTheme="minorHAnsi" w:hAnsi="Arial" w:cs="Arial"/>
          <w:b/>
          <w:sz w:val="20"/>
          <w:szCs w:val="20"/>
          <w:lang w:val="it-IT"/>
        </w:rPr>
        <w:t>TGW Warehouse Software gestisce tutti i processi</w:t>
      </w:r>
    </w:p>
    <w:p w:rsidR="00361D14" w:rsidRPr="00704672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361D14" w:rsidRPr="00704672" w:rsidRDefault="004B767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Il cuore pulsante del sistema è costituito da un magazzino </w:t>
      </w:r>
      <w:r w:rsidR="00704672"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con tre corridoi 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shuttle, che </w:t>
      </w:r>
      <w:r w:rsidR="00704672">
        <w:rPr>
          <w:rFonts w:ascii="Arial" w:eastAsiaTheme="minorHAnsi" w:hAnsi="Arial" w:cs="Arial"/>
          <w:sz w:val="20"/>
          <w:szCs w:val="20"/>
          <w:lang w:val="it-IT"/>
        </w:rPr>
        <w:t xml:space="preserve">opera in ambiente con 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temperatura </w:t>
      </w:r>
      <w:r w:rsidR="00704672">
        <w:rPr>
          <w:rFonts w:ascii="Arial" w:eastAsiaTheme="minorHAnsi" w:hAnsi="Arial" w:cs="Arial"/>
          <w:sz w:val="20"/>
          <w:szCs w:val="20"/>
          <w:lang w:val="it-IT"/>
        </w:rPr>
        <w:t>tra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 due </w:t>
      </w:r>
      <w:r w:rsidR="00704672">
        <w:rPr>
          <w:rFonts w:ascii="Arial" w:eastAsiaTheme="minorHAnsi" w:hAnsi="Arial" w:cs="Arial"/>
          <w:sz w:val="20"/>
          <w:szCs w:val="20"/>
          <w:lang w:val="it-IT"/>
        </w:rPr>
        <w:t>e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 quattro gradi C. L'impianto serve allo stesso tempo per immagazzinare</w:t>
      </w:r>
      <w:r w:rsidR="00704672">
        <w:rPr>
          <w:rFonts w:ascii="Arial" w:eastAsiaTheme="minorHAnsi" w:hAnsi="Arial" w:cs="Arial"/>
          <w:sz w:val="20"/>
          <w:szCs w:val="20"/>
          <w:lang w:val="it-IT"/>
        </w:rPr>
        <w:t xml:space="preserve"> sia il prodotto che i 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contenitori vuoti e </w:t>
      </w:r>
      <w:r w:rsidR="00704672">
        <w:rPr>
          <w:rFonts w:ascii="Arial" w:eastAsiaTheme="minorHAnsi" w:hAnsi="Arial" w:cs="Arial"/>
          <w:sz w:val="20"/>
          <w:szCs w:val="20"/>
          <w:lang w:val="it-IT"/>
        </w:rPr>
        <w:t xml:space="preserve">quelli 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dei clienti. Gli ordini sono </w:t>
      </w:r>
      <w:r w:rsidR="00704672">
        <w:rPr>
          <w:rFonts w:ascii="Arial" w:eastAsiaTheme="minorHAnsi" w:hAnsi="Arial" w:cs="Arial"/>
          <w:sz w:val="20"/>
          <w:szCs w:val="20"/>
          <w:lang w:val="it-IT"/>
        </w:rPr>
        <w:t xml:space="preserve">preparati in 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tre </w:t>
      </w:r>
      <w:r w:rsidR="00704672">
        <w:rPr>
          <w:rFonts w:ascii="Arial" w:eastAsiaTheme="minorHAnsi" w:hAnsi="Arial" w:cs="Arial"/>
          <w:sz w:val="20"/>
          <w:szCs w:val="20"/>
          <w:lang w:val="it-IT"/>
        </w:rPr>
        <w:t>s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tazioni di lavoro ad alte prestazioni PickCenter One. </w:t>
      </w:r>
    </w:p>
    <w:p w:rsidR="00361D14" w:rsidRPr="00704672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3640FB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/>
        </w:rPr>
      </w:pP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I robot predispongono in automatico i pallet dei clienti e </w:t>
      </w:r>
      <w:proofErr w:type="spellStart"/>
      <w:r w:rsidRPr="00704672">
        <w:rPr>
          <w:rFonts w:ascii="Arial" w:eastAsiaTheme="minorHAnsi" w:hAnsi="Arial" w:cs="Arial"/>
          <w:sz w:val="20"/>
          <w:szCs w:val="20"/>
          <w:lang w:val="it-IT"/>
        </w:rPr>
        <w:t>depallettizzano</w:t>
      </w:r>
      <w:proofErr w:type="spellEnd"/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 i contenitori vuoti. Le singole aree del fulfillment center sono collegate tra loro con il sistema di convogliamento KingDrive</w:t>
      </w:r>
      <w:r w:rsidRPr="00704672">
        <w:rPr>
          <w:rFonts w:ascii="Arial" w:eastAsiaTheme="minorHAnsi" w:hAnsi="Arial" w:cs="Arial"/>
          <w:sz w:val="20"/>
          <w:szCs w:val="20"/>
          <w:vertAlign w:val="superscript"/>
          <w:lang w:val="it-IT"/>
        </w:rPr>
        <w:t xml:space="preserve">® 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ad </w:t>
      </w:r>
      <w:r w:rsidR="00704672">
        <w:rPr>
          <w:rFonts w:ascii="Arial" w:eastAsiaTheme="minorHAnsi" w:hAnsi="Arial" w:cs="Arial"/>
          <w:sz w:val="20"/>
          <w:szCs w:val="20"/>
          <w:lang w:val="it-IT"/>
        </w:rPr>
        <w:t xml:space="preserve">alta 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>efficienza energetica, che si snoda per più di 1,5 chilometri. Tutti i processi sono pianificati, comandati e monitorati dal software TGW Warehouse, che funge sia da Warehouse Control System (WCS) sia da controllo di flusso del materiale (MFC).</w:t>
      </w:r>
    </w:p>
    <w:p w:rsidR="001C737A" w:rsidRPr="00704672" w:rsidRDefault="001C737A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361D14" w:rsidRPr="00704672" w:rsidRDefault="00C31E8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proofErr w:type="spellStart"/>
      <w:r w:rsidRPr="00704672">
        <w:rPr>
          <w:rFonts w:ascii="Arial" w:eastAsiaTheme="minorHAnsi" w:hAnsi="Arial" w:cs="Arial"/>
          <w:b/>
          <w:sz w:val="20"/>
          <w:szCs w:val="20"/>
          <w:lang w:val="it-IT"/>
        </w:rPr>
        <w:lastRenderedPageBreak/>
        <w:t>Intralogistica</w:t>
      </w:r>
      <w:proofErr w:type="spellEnd"/>
      <w:r w:rsidRPr="00704672">
        <w:rPr>
          <w:rFonts w:ascii="Arial" w:eastAsiaTheme="minorHAnsi" w:hAnsi="Arial" w:cs="Arial"/>
          <w:b/>
          <w:sz w:val="20"/>
          <w:szCs w:val="20"/>
          <w:lang w:val="it-IT"/>
        </w:rPr>
        <w:t xml:space="preserve"> performante come base per una crescita pianificata</w:t>
      </w:r>
    </w:p>
    <w:p w:rsidR="00361D14" w:rsidRPr="00704672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:rsidR="00361D14" w:rsidRPr="00704672" w:rsidRDefault="00616773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Il nuovo centro di distribuzione coadiuva </w:t>
      </w:r>
      <w:r w:rsidR="00704672"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UpFresh </w:t>
      </w:r>
      <w:r w:rsidR="00704672">
        <w:rPr>
          <w:rFonts w:ascii="Arial" w:eastAsiaTheme="minorHAnsi" w:hAnsi="Arial" w:cs="Arial"/>
          <w:sz w:val="20"/>
          <w:szCs w:val="20"/>
          <w:lang w:val="it-IT"/>
        </w:rPr>
        <w:t xml:space="preserve">a raggiungere </w:t>
      </w:r>
      <w:r w:rsidRPr="00704672">
        <w:rPr>
          <w:rFonts w:ascii="Arial" w:eastAsiaTheme="minorHAnsi" w:hAnsi="Arial" w:cs="Arial"/>
          <w:sz w:val="20"/>
          <w:szCs w:val="20"/>
          <w:lang w:val="it-IT"/>
        </w:rPr>
        <w:t>gli obiettivi di crescita e costituisce la base per servizi rapidi e affidabili. La soluzione offre un elevato grado di flessibilità e contribuisce pertanto a una riduzione sostenibile dei costi d'esercizio.</w:t>
      </w:r>
    </w:p>
    <w:p w:rsidR="00361D14" w:rsidRPr="00704672" w:rsidRDefault="00361D14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361D14" w:rsidRPr="00704672" w:rsidRDefault="00BA17BF" w:rsidP="00361D1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"In stretta collaborazione con i clienti abbiamo sviluppato una soluzione su misura per le esigenze di UpFresh", sottolinea Hans De Sutter, </w:t>
      </w:r>
      <w:proofErr w:type="spellStart"/>
      <w:r w:rsidRPr="00704672">
        <w:rPr>
          <w:rFonts w:ascii="Arial" w:eastAsiaTheme="minorHAnsi" w:hAnsi="Arial" w:cs="Arial"/>
          <w:sz w:val="20"/>
          <w:szCs w:val="20"/>
          <w:lang w:val="it-IT"/>
        </w:rPr>
        <w:t>Managing</w:t>
      </w:r>
      <w:proofErr w:type="spellEnd"/>
      <w:r w:rsidRPr="00704672">
        <w:rPr>
          <w:rFonts w:ascii="Arial" w:eastAsiaTheme="minorHAnsi" w:hAnsi="Arial" w:cs="Arial"/>
          <w:sz w:val="20"/>
          <w:szCs w:val="20"/>
          <w:lang w:val="it-IT"/>
        </w:rPr>
        <w:t xml:space="preserve"> Director presso TGW Benelux. "Il layout dell'impianto è già predisposto per necessità future perché, se necessario, può essere velocemente ampliato e raddoppiare le prestazioni."</w:t>
      </w:r>
    </w:p>
    <w:p w:rsidR="00FB1667" w:rsidRPr="00704672" w:rsidRDefault="00FB1667" w:rsidP="007C1E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:rsidR="00100F5C" w:rsidRDefault="001C737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F702D2" w:rsidRPr="00704672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  <w:r w:rsidR="00F702D2" w:rsidRPr="00704672">
        <w:rPr>
          <w:rFonts w:ascii="Arial" w:hAnsi="Arial" w:cs="Arial"/>
          <w:sz w:val="20"/>
          <w:szCs w:val="20"/>
          <w:lang w:val="en-GB"/>
        </w:rPr>
        <w:br/>
      </w: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151502" w:rsidRDefault="0015150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249D" w:rsidRDefault="00ED249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ED249D" w:rsidRDefault="00ED249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42589B" w:rsidRDefault="0042589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42589B" w:rsidRDefault="0042589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361D14" w:rsidRDefault="00361D1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215452" w:rsidRDefault="0021545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 w:rsidRPr="00704672">
        <w:rPr>
          <w:rFonts w:ascii="Arial" w:hAnsi="Arial" w:cs="Arial"/>
          <w:b/>
          <w:sz w:val="20"/>
          <w:szCs w:val="20"/>
          <w:lang w:val="en-GB"/>
        </w:rPr>
        <w:lastRenderedPageBreak/>
        <w:t>Informazioni</w:t>
      </w:r>
      <w:proofErr w:type="spellEnd"/>
      <w:r w:rsidRPr="00704672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704672">
        <w:rPr>
          <w:rFonts w:ascii="Arial" w:hAnsi="Arial" w:cs="Arial"/>
          <w:b/>
          <w:sz w:val="20"/>
          <w:szCs w:val="20"/>
          <w:lang w:val="en-GB"/>
        </w:rPr>
        <w:t>sul</w:t>
      </w:r>
      <w:proofErr w:type="spellEnd"/>
      <w:r w:rsidRPr="00704672">
        <w:rPr>
          <w:rFonts w:ascii="Arial" w:hAnsi="Arial" w:cs="Arial"/>
          <w:b/>
          <w:sz w:val="20"/>
          <w:szCs w:val="20"/>
          <w:lang w:val="en-GB"/>
        </w:rPr>
        <w:t xml:space="preserve"> TGW Logistics Group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704672">
        <w:rPr>
          <w:rFonts w:cs="Arial"/>
          <w:szCs w:val="20"/>
          <w:lang w:val="it-IT"/>
        </w:rPr>
        <w:t>TGW Logistics Group è un'azienda fornitrice di soluzioni per l'</w:t>
      </w:r>
      <w:proofErr w:type="spellStart"/>
      <w:r w:rsidRPr="00704672">
        <w:rPr>
          <w:rFonts w:cs="Arial"/>
          <w:szCs w:val="20"/>
          <w:lang w:val="it-IT"/>
        </w:rPr>
        <w:t>intralogistica</w:t>
      </w:r>
      <w:proofErr w:type="spellEnd"/>
      <w:r w:rsidRPr="00704672">
        <w:rPr>
          <w:rFonts w:cs="Arial"/>
          <w:szCs w:val="20"/>
          <w:lang w:val="it-IT"/>
        </w:rPr>
        <w:t xml:space="preserve"> di primaria importanza a livello internazionale. Da oltre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:rsidR="000F039C" w:rsidRPr="00704672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704672">
        <w:rPr>
          <w:rFonts w:cs="Arial"/>
          <w:szCs w:val="20"/>
          <w:lang w:val="it-IT"/>
        </w:rPr>
        <w:t>Il gruppo TGW Logistics Group ha filiali in Europa, Cina e USA e può contare su oltre 4.000 collaboratori in tutto il mondo. Nell'esercizio fiscale 2020/21 l'azienda ha ottenuto un fatturato complessivo di 813 milioni di euro.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704672">
        <w:rPr>
          <w:rFonts w:cs="Arial"/>
          <w:b/>
          <w:szCs w:val="20"/>
          <w:lang w:val="it-IT"/>
        </w:rPr>
        <w:t>Fotografie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704672">
        <w:rPr>
          <w:rFonts w:cs="Arial"/>
          <w:szCs w:val="20"/>
          <w:lang w:val="it-IT"/>
        </w:rPr>
        <w:t>È permessa la pubblicazione gratuita fornendo l'indicazione della fonte e per i comunicati stampa che hanno come oggetto principalmen</w:t>
      </w:r>
      <w:r w:rsidR="0068674C" w:rsidRPr="00704672">
        <w:rPr>
          <w:rFonts w:cs="Arial"/>
          <w:szCs w:val="20"/>
          <w:lang w:val="it-IT"/>
        </w:rPr>
        <w:t>te il TGW Logistics Group GmbH.</w:t>
      </w:r>
      <w:r w:rsidRPr="00704672">
        <w:rPr>
          <w:rFonts w:cs="Arial"/>
          <w:szCs w:val="20"/>
          <w:lang w:val="it-IT"/>
        </w:rPr>
        <w:t xml:space="preserve"> La pubblicazione a scopi pubblicitari non è gratuita.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704672">
        <w:rPr>
          <w:rFonts w:cs="Arial"/>
          <w:b/>
          <w:szCs w:val="20"/>
          <w:lang w:val="it-IT"/>
        </w:rPr>
        <w:t>Contatti: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704672">
        <w:rPr>
          <w:rFonts w:cs="Arial"/>
          <w:szCs w:val="20"/>
          <w:lang w:val="it-IT"/>
        </w:rPr>
        <w:t>TGW Logistics Group GmbH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704672">
        <w:rPr>
          <w:rFonts w:eastAsiaTheme="minorEastAsia" w:cs="Arial"/>
          <w:noProof/>
          <w:szCs w:val="20"/>
          <w:lang w:val="it-IT"/>
        </w:rPr>
        <w:t>A-4614 Marchtrenk</w:t>
      </w:r>
      <w:r w:rsidRPr="00704672">
        <w:rPr>
          <w:rFonts w:cs="Arial"/>
          <w:szCs w:val="20"/>
          <w:lang w:val="it-IT"/>
        </w:rPr>
        <w:t>, Ludwig Szinicz Straße 3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proofErr w:type="spellStart"/>
      <w:r w:rsidRPr="00704672">
        <w:rPr>
          <w:rFonts w:cs="Arial"/>
          <w:szCs w:val="20"/>
          <w:lang w:val="it-IT"/>
        </w:rPr>
        <w:t>Tel</w:t>
      </w:r>
      <w:proofErr w:type="spellEnd"/>
      <w:r w:rsidRPr="00704672">
        <w:rPr>
          <w:rFonts w:cs="Arial"/>
          <w:szCs w:val="20"/>
          <w:lang w:val="it-IT"/>
        </w:rPr>
        <w:t>: +</w:t>
      </w:r>
      <w:proofErr w:type="gramStart"/>
      <w:r w:rsidRPr="00704672">
        <w:rPr>
          <w:rFonts w:cs="Arial"/>
          <w:szCs w:val="20"/>
          <w:lang w:val="it-IT"/>
        </w:rPr>
        <w:t>43.(</w:t>
      </w:r>
      <w:proofErr w:type="gramEnd"/>
      <w:r w:rsidRPr="00704672">
        <w:rPr>
          <w:rFonts w:cs="Arial"/>
          <w:szCs w:val="20"/>
          <w:lang w:val="it-IT"/>
        </w:rPr>
        <w:t>0)50.486-0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704672">
        <w:rPr>
          <w:rFonts w:cs="Arial"/>
          <w:szCs w:val="20"/>
          <w:lang w:val="it-IT"/>
        </w:rPr>
        <w:t>Fax: +</w:t>
      </w:r>
      <w:proofErr w:type="gramStart"/>
      <w:r w:rsidRPr="00704672">
        <w:rPr>
          <w:rFonts w:cs="Arial"/>
          <w:szCs w:val="20"/>
          <w:lang w:val="it-IT"/>
        </w:rPr>
        <w:t>43.(</w:t>
      </w:r>
      <w:proofErr w:type="gramEnd"/>
      <w:r w:rsidRPr="00704672">
        <w:rPr>
          <w:rFonts w:cs="Arial"/>
          <w:szCs w:val="20"/>
          <w:lang w:val="it-IT"/>
        </w:rPr>
        <w:t>0)50.486-31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704672">
        <w:rPr>
          <w:rFonts w:cs="Arial"/>
          <w:szCs w:val="20"/>
          <w:lang w:val="it-IT"/>
        </w:rPr>
        <w:t>E-mail: tgw@tgw-group.com</w:t>
      </w: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:rsidR="000F039C" w:rsidRPr="00704672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proofErr w:type="spellStart"/>
      <w:r w:rsidRPr="00704672">
        <w:rPr>
          <w:rFonts w:cs="Arial"/>
          <w:b/>
          <w:szCs w:val="20"/>
          <w:lang w:val="en-GB"/>
        </w:rPr>
        <w:t>Contatto</w:t>
      </w:r>
      <w:proofErr w:type="spellEnd"/>
      <w:r w:rsidRPr="00704672">
        <w:rPr>
          <w:rFonts w:cs="Arial"/>
          <w:b/>
          <w:szCs w:val="20"/>
          <w:lang w:val="en-GB"/>
        </w:rPr>
        <w:t xml:space="preserve"> </w:t>
      </w:r>
      <w:proofErr w:type="spellStart"/>
      <w:r w:rsidRPr="00704672">
        <w:rPr>
          <w:rFonts w:cs="Arial"/>
          <w:b/>
          <w:szCs w:val="20"/>
          <w:lang w:val="en-GB"/>
        </w:rPr>
        <w:t>stampa</w:t>
      </w:r>
      <w:proofErr w:type="spellEnd"/>
      <w:r w:rsidRPr="00704672">
        <w:rPr>
          <w:rFonts w:cs="Arial"/>
          <w:b/>
          <w:szCs w:val="20"/>
          <w:lang w:val="en-GB"/>
        </w:rPr>
        <w:t>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704672">
        <w:rPr>
          <w:rFonts w:cs="Arial"/>
          <w:szCs w:val="20"/>
          <w:lang w:val="en-GB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704672">
        <w:rPr>
          <w:rFonts w:cs="Arial"/>
          <w:szCs w:val="20"/>
          <w:lang w:val="en-GB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704672">
        <w:rPr>
          <w:rFonts w:cs="Arial"/>
          <w:szCs w:val="20"/>
          <w:lang w:val="en-GB"/>
        </w:rPr>
        <w:t>Tel: +43</w:t>
      </w:r>
      <w:proofErr w:type="gramStart"/>
      <w:r w:rsidRPr="00704672">
        <w:rPr>
          <w:rFonts w:cs="Arial"/>
          <w:szCs w:val="20"/>
          <w:lang w:val="en-GB"/>
        </w:rPr>
        <w:t>.(</w:t>
      </w:r>
      <w:proofErr w:type="gramEnd"/>
      <w:r w:rsidRPr="00704672">
        <w:rPr>
          <w:rFonts w:cs="Arial"/>
          <w:szCs w:val="20"/>
          <w:lang w:val="en-GB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proofErr w:type="gramStart"/>
      <w:r w:rsidRPr="00704672">
        <w:rPr>
          <w:rFonts w:cs="Arial"/>
          <w:szCs w:val="20"/>
          <w:lang w:val="en-GB"/>
        </w:rPr>
        <w:t>Cell.:</w:t>
      </w:r>
      <w:proofErr w:type="gramEnd"/>
      <w:r w:rsidRPr="00704672">
        <w:rPr>
          <w:rFonts w:cs="Arial"/>
          <w:szCs w:val="20"/>
          <w:lang w:val="en-GB"/>
        </w:rPr>
        <w:t xml:space="preserve">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704672">
        <w:rPr>
          <w:rFonts w:cs="Arial"/>
          <w:szCs w:val="20"/>
          <w:lang w:val="en-GB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704672">
        <w:rPr>
          <w:rFonts w:cs="Arial"/>
          <w:szCs w:val="20"/>
          <w:lang w:val="en-GB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704672">
        <w:rPr>
          <w:rFonts w:cs="Arial"/>
          <w:szCs w:val="20"/>
          <w:lang w:val="en-GB"/>
        </w:rPr>
        <w:t>Director Marketing &amp; Communications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59" w:rsidRDefault="00585559" w:rsidP="00764006">
      <w:pPr>
        <w:spacing w:line="240" w:lineRule="auto"/>
      </w:pPr>
      <w:r>
        <w:separator/>
      </w:r>
    </w:p>
  </w:endnote>
  <w:endnote w:type="continuationSeparator" w:id="0">
    <w:p w:rsidR="00585559" w:rsidRDefault="0058555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1C737A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59" w:rsidRDefault="00585559" w:rsidP="00764006">
      <w:pPr>
        <w:spacing w:line="240" w:lineRule="auto"/>
      </w:pPr>
      <w:r>
        <w:separator/>
      </w:r>
    </w:p>
  </w:footnote>
  <w:footnote w:type="continuationSeparator" w:id="0">
    <w:p w:rsidR="00585559" w:rsidRDefault="0058555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87850"/>
    <w:multiLevelType w:val="hybridMultilevel"/>
    <w:tmpl w:val="BEF2BE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3"/>
  </w:num>
  <w:num w:numId="7">
    <w:abstractNumId w:val="15"/>
  </w:num>
  <w:num w:numId="8">
    <w:abstractNumId w:val="12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2BA5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45D1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222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BC1"/>
    <w:rsid w:val="00094DFA"/>
    <w:rsid w:val="00095CBA"/>
    <w:rsid w:val="00095E22"/>
    <w:rsid w:val="000973B3"/>
    <w:rsid w:val="00097487"/>
    <w:rsid w:val="00097DE7"/>
    <w:rsid w:val="000A0FAA"/>
    <w:rsid w:val="000A0FE1"/>
    <w:rsid w:val="000A1294"/>
    <w:rsid w:val="000A2827"/>
    <w:rsid w:val="000A2868"/>
    <w:rsid w:val="000A292D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1E81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5FFC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E7DCC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502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2EE8"/>
    <w:rsid w:val="00164A89"/>
    <w:rsid w:val="00165D4D"/>
    <w:rsid w:val="00166ED9"/>
    <w:rsid w:val="00166FB3"/>
    <w:rsid w:val="0017018E"/>
    <w:rsid w:val="001702F3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5527"/>
    <w:rsid w:val="00177186"/>
    <w:rsid w:val="00177950"/>
    <w:rsid w:val="00177E66"/>
    <w:rsid w:val="0018005A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6550"/>
    <w:rsid w:val="001B7711"/>
    <w:rsid w:val="001B7B16"/>
    <w:rsid w:val="001C0661"/>
    <w:rsid w:val="001C073F"/>
    <w:rsid w:val="001C1504"/>
    <w:rsid w:val="001C173C"/>
    <w:rsid w:val="001C1F1C"/>
    <w:rsid w:val="001C203E"/>
    <w:rsid w:val="001C29AC"/>
    <w:rsid w:val="001C33E5"/>
    <w:rsid w:val="001C4484"/>
    <w:rsid w:val="001C5EC6"/>
    <w:rsid w:val="001C6FC4"/>
    <w:rsid w:val="001C737A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6D57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5452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159E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037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1D1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D705C"/>
    <w:rsid w:val="002E11B2"/>
    <w:rsid w:val="002E1AB4"/>
    <w:rsid w:val="002E1F59"/>
    <w:rsid w:val="002E312E"/>
    <w:rsid w:val="002E358F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CE7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616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4EED"/>
    <w:rsid w:val="00355190"/>
    <w:rsid w:val="00356C67"/>
    <w:rsid w:val="00356E3C"/>
    <w:rsid w:val="00356FC7"/>
    <w:rsid w:val="003572A1"/>
    <w:rsid w:val="00361063"/>
    <w:rsid w:val="00361341"/>
    <w:rsid w:val="00361B30"/>
    <w:rsid w:val="00361D14"/>
    <w:rsid w:val="003637B7"/>
    <w:rsid w:val="00363C5E"/>
    <w:rsid w:val="00363E6F"/>
    <w:rsid w:val="00363FC4"/>
    <w:rsid w:val="003640FB"/>
    <w:rsid w:val="003642F9"/>
    <w:rsid w:val="003645BE"/>
    <w:rsid w:val="00365AA0"/>
    <w:rsid w:val="003670C9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07D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89B"/>
    <w:rsid w:val="00425957"/>
    <w:rsid w:val="00425DCA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351A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7647"/>
    <w:rsid w:val="00490874"/>
    <w:rsid w:val="00490DED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B767F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C0D"/>
    <w:rsid w:val="004F1580"/>
    <w:rsid w:val="004F16F2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10BA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4B26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57FBF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4E85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559"/>
    <w:rsid w:val="00585BB2"/>
    <w:rsid w:val="005861E5"/>
    <w:rsid w:val="00586708"/>
    <w:rsid w:val="00586A99"/>
    <w:rsid w:val="00587756"/>
    <w:rsid w:val="00590E98"/>
    <w:rsid w:val="005918D1"/>
    <w:rsid w:val="00592267"/>
    <w:rsid w:val="00592507"/>
    <w:rsid w:val="00592C1B"/>
    <w:rsid w:val="00593028"/>
    <w:rsid w:val="005931E4"/>
    <w:rsid w:val="005948F3"/>
    <w:rsid w:val="00594A63"/>
    <w:rsid w:val="0059546F"/>
    <w:rsid w:val="00595F90"/>
    <w:rsid w:val="00597C48"/>
    <w:rsid w:val="005A1B72"/>
    <w:rsid w:val="005A1CE4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1FBE"/>
    <w:rsid w:val="005B254C"/>
    <w:rsid w:val="005B6D02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6773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74C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8DD"/>
    <w:rsid w:val="006A0DF9"/>
    <w:rsid w:val="006A1418"/>
    <w:rsid w:val="006A1E67"/>
    <w:rsid w:val="006A266E"/>
    <w:rsid w:val="006A30D1"/>
    <w:rsid w:val="006A3A63"/>
    <w:rsid w:val="006A3B80"/>
    <w:rsid w:val="006A3C92"/>
    <w:rsid w:val="006A5B03"/>
    <w:rsid w:val="006A6ABB"/>
    <w:rsid w:val="006A702C"/>
    <w:rsid w:val="006B0972"/>
    <w:rsid w:val="006B2A27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672"/>
    <w:rsid w:val="007049E7"/>
    <w:rsid w:val="00706DB6"/>
    <w:rsid w:val="007076E0"/>
    <w:rsid w:val="00710463"/>
    <w:rsid w:val="00710DED"/>
    <w:rsid w:val="00711AA9"/>
    <w:rsid w:val="00711F65"/>
    <w:rsid w:val="00713569"/>
    <w:rsid w:val="0071466A"/>
    <w:rsid w:val="007149B0"/>
    <w:rsid w:val="00716360"/>
    <w:rsid w:val="00716BE1"/>
    <w:rsid w:val="007176FB"/>
    <w:rsid w:val="00717771"/>
    <w:rsid w:val="00720F2F"/>
    <w:rsid w:val="0072197D"/>
    <w:rsid w:val="00721B5C"/>
    <w:rsid w:val="0072206F"/>
    <w:rsid w:val="00722485"/>
    <w:rsid w:val="00725E83"/>
    <w:rsid w:val="00725EDC"/>
    <w:rsid w:val="007279BB"/>
    <w:rsid w:val="0073031B"/>
    <w:rsid w:val="00730A1B"/>
    <w:rsid w:val="00731521"/>
    <w:rsid w:val="0073477C"/>
    <w:rsid w:val="0073483D"/>
    <w:rsid w:val="00735671"/>
    <w:rsid w:val="00735BBD"/>
    <w:rsid w:val="00735CBA"/>
    <w:rsid w:val="00736559"/>
    <w:rsid w:val="007366E9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589"/>
    <w:rsid w:val="00747660"/>
    <w:rsid w:val="007502BB"/>
    <w:rsid w:val="007506B6"/>
    <w:rsid w:val="00750908"/>
    <w:rsid w:val="00750D87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3FB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1D80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1E4D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20C2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42E6"/>
    <w:rsid w:val="00834A30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5DE9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976FB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6F02"/>
    <w:rsid w:val="0092734E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96E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10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59F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6A3A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52A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9BE"/>
    <w:rsid w:val="009D2C46"/>
    <w:rsid w:val="009D41E7"/>
    <w:rsid w:val="009D6810"/>
    <w:rsid w:val="009D6C00"/>
    <w:rsid w:val="009D6FAC"/>
    <w:rsid w:val="009D75D8"/>
    <w:rsid w:val="009D7948"/>
    <w:rsid w:val="009D79F2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672C"/>
    <w:rsid w:val="00A27B93"/>
    <w:rsid w:val="00A303C2"/>
    <w:rsid w:val="00A303EB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AB9"/>
    <w:rsid w:val="00A41C58"/>
    <w:rsid w:val="00A420C9"/>
    <w:rsid w:val="00A42454"/>
    <w:rsid w:val="00A42ACF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7E0"/>
    <w:rsid w:val="00A640C9"/>
    <w:rsid w:val="00A640E1"/>
    <w:rsid w:val="00A645AF"/>
    <w:rsid w:val="00A65F1A"/>
    <w:rsid w:val="00A661D2"/>
    <w:rsid w:val="00A665B8"/>
    <w:rsid w:val="00A671A5"/>
    <w:rsid w:val="00A67704"/>
    <w:rsid w:val="00A70250"/>
    <w:rsid w:val="00A70AEE"/>
    <w:rsid w:val="00A70ECC"/>
    <w:rsid w:val="00A71BEC"/>
    <w:rsid w:val="00A71DD6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A7BE1"/>
    <w:rsid w:val="00AB01D7"/>
    <w:rsid w:val="00AB0BCA"/>
    <w:rsid w:val="00AB1961"/>
    <w:rsid w:val="00AB1C8A"/>
    <w:rsid w:val="00AB2157"/>
    <w:rsid w:val="00AB2378"/>
    <w:rsid w:val="00AB24C2"/>
    <w:rsid w:val="00AB39A3"/>
    <w:rsid w:val="00AB4B0E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0B5"/>
    <w:rsid w:val="00AE7566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460"/>
    <w:rsid w:val="00B63767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1E3"/>
    <w:rsid w:val="00B96305"/>
    <w:rsid w:val="00BA00CF"/>
    <w:rsid w:val="00BA03A5"/>
    <w:rsid w:val="00BA08EB"/>
    <w:rsid w:val="00BA0B90"/>
    <w:rsid w:val="00BA0D68"/>
    <w:rsid w:val="00BA17BF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0DD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0E27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2F94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1E8F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FD8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99A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D781E"/>
    <w:rsid w:val="00CE14E4"/>
    <w:rsid w:val="00CE17AA"/>
    <w:rsid w:val="00CE3232"/>
    <w:rsid w:val="00CE4585"/>
    <w:rsid w:val="00CE4589"/>
    <w:rsid w:val="00CE4FA6"/>
    <w:rsid w:val="00CE56E1"/>
    <w:rsid w:val="00CF0D1A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2B1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92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1CD1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4BC9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2D4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0333"/>
    <w:rsid w:val="00DB1DF8"/>
    <w:rsid w:val="00DB1FC3"/>
    <w:rsid w:val="00DB281C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17D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6E45"/>
    <w:rsid w:val="00DF719E"/>
    <w:rsid w:val="00DF762F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DE8"/>
    <w:rsid w:val="00E32C25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579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66F5A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335"/>
    <w:rsid w:val="00E7654C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0A99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49D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5F7"/>
    <w:rsid w:val="00F1062C"/>
    <w:rsid w:val="00F1103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29B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118"/>
    <w:rsid w:val="00F607D0"/>
    <w:rsid w:val="00F60F42"/>
    <w:rsid w:val="00F61815"/>
    <w:rsid w:val="00F6247B"/>
    <w:rsid w:val="00F63037"/>
    <w:rsid w:val="00F644DE"/>
    <w:rsid w:val="00F649F0"/>
    <w:rsid w:val="00F64F36"/>
    <w:rsid w:val="00F702D2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443A"/>
    <w:rsid w:val="00FA58B7"/>
    <w:rsid w:val="00FA60CB"/>
    <w:rsid w:val="00FA6608"/>
    <w:rsid w:val="00FA7D9F"/>
    <w:rsid w:val="00FB097F"/>
    <w:rsid w:val="00FB143B"/>
    <w:rsid w:val="00FB1667"/>
    <w:rsid w:val="00FB2CE0"/>
    <w:rsid w:val="00FB2F9A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5A94"/>
    <w:rsid w:val="00FF5E70"/>
    <w:rsid w:val="00FF6C00"/>
    <w:rsid w:val="00FF7A53"/>
    <w:rsid w:val="00FF7B93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51BD5E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1D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1D14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65E3-1BEB-43CC-B36E-ABEDBFB2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accelera le prestazioni dello specialista belga nel settore grocery UpFresh</vt:lpstr>
    </vt:vector>
  </TitlesOfParts>
  <Company>TGW Group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accelera le prestazioni dello specialista belga nel settore grocery UpFresh</dc:title>
  <dc:creator>Alexander Tahedl</dc:creator>
  <cp:keywords>TGW accelera le prestazioni dello specialista belga nel settore grocery UpFresh</cp:keywords>
  <cp:lastModifiedBy>Tahedl Alexander</cp:lastModifiedBy>
  <cp:revision>413</cp:revision>
  <cp:lastPrinted>2020-09-07T05:28:00Z</cp:lastPrinted>
  <dcterms:created xsi:type="dcterms:W3CDTF">2020-10-14T12:02:00Z</dcterms:created>
  <dcterms:modified xsi:type="dcterms:W3CDTF">2022-03-17T08:14:00Z</dcterms:modified>
</cp:coreProperties>
</file>