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A2D" w:rsidRDefault="00443A2D" w:rsidP="00BF03D6">
      <w:pPr>
        <w:spacing w:line="360" w:lineRule="auto"/>
        <w:ind w:left="0" w:right="1693"/>
        <w:jc w:val="left"/>
        <w:rPr>
          <w:rFonts w:cs="Arial"/>
          <w:b/>
          <w:sz w:val="24"/>
          <w:szCs w:val="24"/>
          <w:lang w:val="fr-FR"/>
        </w:rPr>
      </w:pPr>
    </w:p>
    <w:p w:rsidR="007975EB" w:rsidRPr="0071101C" w:rsidRDefault="007975EB" w:rsidP="00BF03D6">
      <w:pPr>
        <w:spacing w:line="360" w:lineRule="auto"/>
        <w:ind w:left="0" w:right="1693"/>
        <w:jc w:val="left"/>
        <w:rPr>
          <w:rFonts w:cs="Arial"/>
          <w:b/>
          <w:sz w:val="24"/>
          <w:szCs w:val="24"/>
          <w:lang w:val="fr-FR"/>
        </w:rPr>
      </w:pPr>
    </w:p>
    <w:p w:rsidR="00B83BBF" w:rsidRPr="0071101C" w:rsidRDefault="001D2BE9" w:rsidP="00BF03D6">
      <w:pPr>
        <w:spacing w:line="360" w:lineRule="auto"/>
        <w:ind w:left="0" w:right="1693"/>
        <w:jc w:val="left"/>
        <w:rPr>
          <w:rFonts w:cs="Arial"/>
          <w:b/>
          <w:sz w:val="28"/>
          <w:szCs w:val="28"/>
          <w:lang w:val="fr-FR"/>
        </w:rPr>
      </w:pPr>
      <w:r w:rsidRPr="0071101C">
        <w:rPr>
          <w:rFonts w:cs="Arial"/>
          <w:b/>
          <w:sz w:val="28"/>
          <w:szCs w:val="28"/>
          <w:lang w:val="fr-FR"/>
        </w:rPr>
        <w:t xml:space="preserve">L'expertise </w:t>
      </w:r>
      <w:r w:rsidR="003D55BA">
        <w:rPr>
          <w:rFonts w:cs="Arial"/>
          <w:b/>
          <w:sz w:val="28"/>
          <w:szCs w:val="28"/>
          <w:lang w:val="fr-FR"/>
        </w:rPr>
        <w:t xml:space="preserve">de </w:t>
      </w:r>
      <w:r w:rsidRPr="0071101C">
        <w:rPr>
          <w:rFonts w:cs="Arial"/>
          <w:b/>
          <w:sz w:val="28"/>
          <w:szCs w:val="28"/>
          <w:lang w:val="fr-FR"/>
        </w:rPr>
        <w:t xml:space="preserve">TGW en matière de stockage de </w:t>
      </w:r>
      <w:r w:rsidR="001E3F53">
        <w:rPr>
          <w:rFonts w:cs="Arial"/>
          <w:b/>
          <w:sz w:val="28"/>
          <w:szCs w:val="28"/>
          <w:lang w:val="fr-FR"/>
        </w:rPr>
        <w:t>produits congelés</w:t>
      </w:r>
      <w:r w:rsidRPr="0071101C">
        <w:rPr>
          <w:rFonts w:cs="Arial"/>
          <w:b/>
          <w:sz w:val="28"/>
          <w:szCs w:val="28"/>
          <w:lang w:val="fr-FR"/>
        </w:rPr>
        <w:t xml:space="preserve"> </w:t>
      </w:r>
      <w:r w:rsidR="001E3F53">
        <w:rPr>
          <w:rFonts w:cs="Arial"/>
          <w:b/>
          <w:sz w:val="28"/>
          <w:szCs w:val="28"/>
          <w:lang w:val="fr-FR"/>
        </w:rPr>
        <w:t xml:space="preserve">permet à </w:t>
      </w:r>
      <w:r w:rsidR="001E3F53" w:rsidRPr="0071101C">
        <w:rPr>
          <w:rFonts w:cs="Arial"/>
          <w:b/>
          <w:sz w:val="28"/>
          <w:szCs w:val="28"/>
          <w:lang w:val="fr-FR"/>
        </w:rPr>
        <w:t>ASKO</w:t>
      </w:r>
      <w:r w:rsidR="001E3F53">
        <w:rPr>
          <w:rFonts w:cs="Arial"/>
          <w:b/>
          <w:sz w:val="28"/>
          <w:szCs w:val="28"/>
          <w:lang w:val="fr-FR"/>
        </w:rPr>
        <w:t>,</w:t>
      </w:r>
      <w:r w:rsidR="001E3F53" w:rsidRPr="0071101C">
        <w:rPr>
          <w:rFonts w:cs="Arial"/>
          <w:b/>
          <w:sz w:val="28"/>
          <w:szCs w:val="28"/>
          <w:lang w:val="fr-FR"/>
        </w:rPr>
        <w:t xml:space="preserve"> leader du marché de commerce alimentaire norvégien</w:t>
      </w:r>
      <w:r w:rsidR="001E3F53">
        <w:rPr>
          <w:rFonts w:cs="Arial"/>
          <w:b/>
          <w:sz w:val="28"/>
          <w:szCs w:val="28"/>
          <w:lang w:val="fr-FR"/>
        </w:rPr>
        <w:t xml:space="preserve"> d’</w:t>
      </w:r>
      <w:r w:rsidRPr="0071101C">
        <w:rPr>
          <w:rFonts w:cs="Arial"/>
          <w:b/>
          <w:sz w:val="28"/>
          <w:szCs w:val="28"/>
          <w:lang w:val="fr-FR"/>
        </w:rPr>
        <w:t>accél</w:t>
      </w:r>
      <w:r w:rsidR="001E3F53">
        <w:rPr>
          <w:rFonts w:cs="Arial"/>
          <w:b/>
          <w:sz w:val="28"/>
          <w:szCs w:val="28"/>
          <w:lang w:val="fr-FR"/>
        </w:rPr>
        <w:t>é</w:t>
      </w:r>
      <w:r w:rsidRPr="0071101C">
        <w:rPr>
          <w:rFonts w:cs="Arial"/>
          <w:b/>
          <w:sz w:val="28"/>
          <w:szCs w:val="28"/>
          <w:lang w:val="fr-FR"/>
        </w:rPr>
        <w:t>re</w:t>
      </w:r>
      <w:r w:rsidR="001E3F53">
        <w:rPr>
          <w:rFonts w:cs="Arial"/>
          <w:b/>
          <w:sz w:val="28"/>
          <w:szCs w:val="28"/>
          <w:lang w:val="fr-FR"/>
        </w:rPr>
        <w:t>r</w:t>
      </w:r>
      <w:r w:rsidR="00920070">
        <w:rPr>
          <w:rFonts w:cs="Arial"/>
          <w:b/>
          <w:sz w:val="28"/>
          <w:szCs w:val="28"/>
          <w:lang w:val="fr-FR"/>
        </w:rPr>
        <w:t xml:space="preserve"> sa croissance.</w:t>
      </w:r>
      <w:r w:rsidRPr="0071101C">
        <w:rPr>
          <w:rFonts w:cs="Arial"/>
          <w:b/>
          <w:sz w:val="28"/>
          <w:szCs w:val="28"/>
          <w:lang w:val="fr-FR"/>
        </w:rPr>
        <w:t xml:space="preserve"> </w:t>
      </w:r>
    </w:p>
    <w:p w:rsidR="00BF03D6" w:rsidRPr="0071101C" w:rsidRDefault="00BF03D6" w:rsidP="00BF03D6">
      <w:pPr>
        <w:spacing w:line="360" w:lineRule="auto"/>
        <w:ind w:left="0" w:right="1693"/>
        <w:jc w:val="left"/>
        <w:rPr>
          <w:rFonts w:cs="Arial"/>
          <w:b/>
          <w:sz w:val="24"/>
          <w:szCs w:val="24"/>
          <w:lang w:val="fr-FR"/>
        </w:rPr>
      </w:pPr>
    </w:p>
    <w:p w:rsidR="004C2610" w:rsidRPr="0071101C" w:rsidRDefault="00FC4BDA" w:rsidP="006F3F38">
      <w:pPr>
        <w:pStyle w:val="Paragraphedeliste"/>
        <w:numPr>
          <w:ilvl w:val="0"/>
          <w:numId w:val="23"/>
        </w:numPr>
        <w:spacing w:line="360" w:lineRule="auto"/>
        <w:ind w:right="1693"/>
        <w:jc w:val="left"/>
        <w:rPr>
          <w:b/>
          <w:sz w:val="24"/>
          <w:szCs w:val="24"/>
          <w:lang w:val="fr-FR"/>
        </w:rPr>
      </w:pPr>
      <w:r w:rsidRPr="0071101C">
        <w:rPr>
          <w:b/>
          <w:sz w:val="24"/>
          <w:szCs w:val="24"/>
          <w:lang w:val="fr-FR"/>
        </w:rPr>
        <w:t>L</w:t>
      </w:r>
      <w:r w:rsidR="00951027">
        <w:rPr>
          <w:b/>
          <w:sz w:val="24"/>
          <w:szCs w:val="24"/>
          <w:lang w:val="fr-FR"/>
        </w:rPr>
        <w:t>a solution</w:t>
      </w:r>
      <w:r w:rsidRPr="0071101C">
        <w:rPr>
          <w:b/>
          <w:sz w:val="24"/>
          <w:szCs w:val="24"/>
          <w:lang w:val="fr-FR"/>
        </w:rPr>
        <w:t xml:space="preserve"> </w:t>
      </w:r>
      <w:r w:rsidR="003D55BA">
        <w:rPr>
          <w:b/>
          <w:sz w:val="24"/>
          <w:szCs w:val="24"/>
          <w:lang w:val="fr-FR"/>
        </w:rPr>
        <w:t xml:space="preserve">logistique en froid négatif </w:t>
      </w:r>
      <w:r w:rsidRPr="0071101C">
        <w:rPr>
          <w:b/>
          <w:sz w:val="24"/>
          <w:szCs w:val="24"/>
          <w:lang w:val="fr-FR"/>
        </w:rPr>
        <w:t>comprend un</w:t>
      </w:r>
      <w:r w:rsidR="003D55BA">
        <w:rPr>
          <w:b/>
          <w:sz w:val="24"/>
          <w:szCs w:val="24"/>
          <w:lang w:val="fr-FR"/>
        </w:rPr>
        <w:t xml:space="preserve"> </w:t>
      </w:r>
      <w:r w:rsidR="003D55BA">
        <w:rPr>
          <w:b/>
          <w:sz w:val="24"/>
          <w:szCs w:val="24"/>
          <w:lang w:val="fr-FR"/>
        </w:rPr>
        <w:t>magasin</w:t>
      </w:r>
      <w:r w:rsidR="003D55BA">
        <w:rPr>
          <w:b/>
          <w:sz w:val="24"/>
          <w:szCs w:val="24"/>
          <w:lang w:val="fr-FR"/>
        </w:rPr>
        <w:t xml:space="preserve"> automatique </w:t>
      </w:r>
      <w:r w:rsidR="003D55BA" w:rsidRPr="0071101C">
        <w:rPr>
          <w:b/>
          <w:sz w:val="24"/>
          <w:szCs w:val="24"/>
          <w:lang w:val="fr-FR"/>
        </w:rPr>
        <w:t xml:space="preserve">grande hauteur </w:t>
      </w:r>
      <w:r w:rsidRPr="0071101C">
        <w:rPr>
          <w:b/>
          <w:sz w:val="24"/>
          <w:szCs w:val="24"/>
          <w:lang w:val="fr-FR"/>
        </w:rPr>
        <w:t xml:space="preserve">de palettes ainsi qu'un </w:t>
      </w:r>
      <w:r w:rsidR="00951027" w:rsidRPr="0071101C">
        <w:rPr>
          <w:b/>
          <w:sz w:val="24"/>
          <w:szCs w:val="24"/>
          <w:lang w:val="fr-FR"/>
        </w:rPr>
        <w:t xml:space="preserve">système </w:t>
      </w:r>
      <w:proofErr w:type="spellStart"/>
      <w:r w:rsidR="00951027">
        <w:rPr>
          <w:b/>
          <w:sz w:val="24"/>
          <w:szCs w:val="24"/>
          <w:lang w:val="fr-FR"/>
        </w:rPr>
        <w:t>miniload</w:t>
      </w:r>
      <w:proofErr w:type="spellEnd"/>
      <w:r w:rsidR="00951027">
        <w:rPr>
          <w:b/>
          <w:sz w:val="24"/>
          <w:szCs w:val="24"/>
          <w:lang w:val="fr-FR"/>
        </w:rPr>
        <w:t xml:space="preserve"> </w:t>
      </w:r>
      <w:r w:rsidR="001E3F53">
        <w:rPr>
          <w:b/>
          <w:sz w:val="24"/>
          <w:szCs w:val="24"/>
          <w:lang w:val="fr-FR"/>
        </w:rPr>
        <w:t xml:space="preserve">de </w:t>
      </w:r>
      <w:r w:rsidRPr="0071101C">
        <w:rPr>
          <w:b/>
          <w:sz w:val="24"/>
          <w:szCs w:val="24"/>
          <w:lang w:val="fr-FR"/>
        </w:rPr>
        <w:t>38 000 emplacements de stockage</w:t>
      </w:r>
    </w:p>
    <w:p w:rsidR="004A046F" w:rsidRPr="0071101C" w:rsidRDefault="004D4911" w:rsidP="007A0EBE">
      <w:pPr>
        <w:pStyle w:val="Paragraphedeliste"/>
        <w:numPr>
          <w:ilvl w:val="0"/>
          <w:numId w:val="23"/>
        </w:numPr>
        <w:spacing w:line="360" w:lineRule="auto"/>
        <w:ind w:right="1693"/>
        <w:jc w:val="left"/>
        <w:rPr>
          <w:b/>
          <w:sz w:val="24"/>
          <w:szCs w:val="24"/>
          <w:lang w:val="fr-FR"/>
        </w:rPr>
      </w:pPr>
      <w:r w:rsidRPr="0071101C">
        <w:rPr>
          <w:b/>
          <w:sz w:val="24"/>
          <w:szCs w:val="24"/>
          <w:lang w:val="fr-FR"/>
        </w:rPr>
        <w:t>Augmentation de la productivité, réduction des temps de traitement et amélioration de l'ergonomie pour les opérateurs</w:t>
      </w:r>
    </w:p>
    <w:p w:rsidR="00F84CAD" w:rsidRPr="0071101C" w:rsidRDefault="00F84CAD" w:rsidP="000F02DC">
      <w:pPr>
        <w:pStyle w:val="Paragraphedeliste"/>
        <w:numPr>
          <w:ilvl w:val="0"/>
          <w:numId w:val="23"/>
        </w:numPr>
        <w:spacing w:line="360" w:lineRule="auto"/>
        <w:ind w:right="1693"/>
        <w:rPr>
          <w:b/>
          <w:sz w:val="24"/>
          <w:szCs w:val="24"/>
          <w:lang w:val="fr-FR"/>
        </w:rPr>
      </w:pPr>
      <w:r w:rsidRPr="0071101C">
        <w:rPr>
          <w:b/>
          <w:sz w:val="24"/>
          <w:szCs w:val="24"/>
          <w:lang w:val="fr-FR"/>
        </w:rPr>
        <w:t xml:space="preserve">L'expérience TGW dans l'automatisation des systèmes de stockage </w:t>
      </w:r>
      <w:r w:rsidR="001E3F53">
        <w:rPr>
          <w:b/>
          <w:sz w:val="24"/>
          <w:szCs w:val="24"/>
          <w:lang w:val="fr-FR"/>
        </w:rPr>
        <w:t xml:space="preserve">pour produits </w:t>
      </w:r>
      <w:r w:rsidRPr="0071101C">
        <w:rPr>
          <w:b/>
          <w:sz w:val="24"/>
          <w:szCs w:val="24"/>
          <w:lang w:val="fr-FR"/>
        </w:rPr>
        <w:t>cong</w:t>
      </w:r>
      <w:r w:rsidR="001E3F53">
        <w:rPr>
          <w:b/>
          <w:sz w:val="24"/>
          <w:szCs w:val="24"/>
          <w:lang w:val="fr-FR"/>
        </w:rPr>
        <w:t>elés</w:t>
      </w:r>
      <w:r w:rsidRPr="0071101C">
        <w:rPr>
          <w:b/>
          <w:sz w:val="24"/>
          <w:szCs w:val="24"/>
          <w:lang w:val="fr-FR"/>
        </w:rPr>
        <w:t xml:space="preserve"> était le critère décisif pour la passation de la commande</w:t>
      </w:r>
    </w:p>
    <w:p w:rsidR="00F84CAD" w:rsidRPr="0071101C" w:rsidRDefault="00F84CAD" w:rsidP="00F84CAD">
      <w:pPr>
        <w:pStyle w:val="Paragraphedeliste"/>
        <w:spacing w:line="360" w:lineRule="auto"/>
        <w:ind w:right="1693"/>
        <w:jc w:val="left"/>
        <w:rPr>
          <w:b/>
          <w:sz w:val="24"/>
          <w:szCs w:val="24"/>
          <w:lang w:val="fr-FR"/>
        </w:rPr>
      </w:pPr>
    </w:p>
    <w:p w:rsidR="00A205FF" w:rsidRPr="0071101C" w:rsidRDefault="00BF03D6" w:rsidP="00A205FF">
      <w:pPr>
        <w:spacing w:line="360" w:lineRule="auto"/>
        <w:ind w:left="0" w:right="1693"/>
        <w:rPr>
          <w:b/>
          <w:szCs w:val="20"/>
          <w:lang w:val="fr-FR"/>
        </w:rPr>
      </w:pPr>
      <w:r w:rsidRPr="0071101C">
        <w:rPr>
          <w:b/>
          <w:szCs w:val="20"/>
          <w:lang w:val="fr-FR"/>
        </w:rPr>
        <w:t xml:space="preserve">(Marchtrenk, le 22 mai 2023) TGW construit un système de stockage </w:t>
      </w:r>
      <w:r w:rsidR="001E3F53">
        <w:rPr>
          <w:b/>
          <w:szCs w:val="20"/>
          <w:lang w:val="fr-FR"/>
        </w:rPr>
        <w:t>pour produits congelés</w:t>
      </w:r>
      <w:r w:rsidRPr="0071101C">
        <w:rPr>
          <w:b/>
          <w:szCs w:val="20"/>
          <w:lang w:val="fr-FR"/>
        </w:rPr>
        <w:t xml:space="preserve"> pour le grossiste </w:t>
      </w:r>
      <w:r w:rsidR="001E3F53">
        <w:rPr>
          <w:b/>
          <w:szCs w:val="20"/>
          <w:lang w:val="fr-FR"/>
        </w:rPr>
        <w:t xml:space="preserve">de produits </w:t>
      </w:r>
      <w:r w:rsidRPr="0071101C">
        <w:rPr>
          <w:b/>
          <w:szCs w:val="20"/>
          <w:lang w:val="fr-FR"/>
        </w:rPr>
        <w:t>alimentaire</w:t>
      </w:r>
      <w:r w:rsidR="001E3F53">
        <w:rPr>
          <w:b/>
          <w:szCs w:val="20"/>
          <w:lang w:val="fr-FR"/>
        </w:rPr>
        <w:t>s</w:t>
      </w:r>
      <w:r w:rsidRPr="0071101C">
        <w:rPr>
          <w:b/>
          <w:szCs w:val="20"/>
          <w:lang w:val="fr-FR"/>
        </w:rPr>
        <w:t xml:space="preserve"> ASKO dans la ville portuaire norvégienne de Trondheim. Avec </w:t>
      </w:r>
      <w:r w:rsidR="00951027">
        <w:rPr>
          <w:b/>
          <w:szCs w:val="20"/>
          <w:lang w:val="fr-FR"/>
        </w:rPr>
        <w:t xml:space="preserve">cette </w:t>
      </w:r>
      <w:r w:rsidRPr="0071101C">
        <w:rPr>
          <w:b/>
          <w:szCs w:val="20"/>
          <w:lang w:val="fr-FR"/>
        </w:rPr>
        <w:t xml:space="preserve">extension, le spécialiste de l'épicerie </w:t>
      </w:r>
      <w:r w:rsidR="00951027">
        <w:rPr>
          <w:b/>
          <w:szCs w:val="20"/>
          <w:lang w:val="fr-FR"/>
        </w:rPr>
        <w:t xml:space="preserve">anticipe </w:t>
      </w:r>
      <w:r w:rsidRPr="0071101C">
        <w:rPr>
          <w:b/>
          <w:szCs w:val="20"/>
          <w:lang w:val="fr-FR"/>
        </w:rPr>
        <w:t>la croissance des années à venir. La mise en service du système hautement automatisé est prévue pour janvier 2025.</w:t>
      </w:r>
    </w:p>
    <w:p w:rsidR="00A205FF" w:rsidRPr="0071101C" w:rsidRDefault="00A205FF" w:rsidP="00A205FF">
      <w:pPr>
        <w:spacing w:line="360" w:lineRule="auto"/>
        <w:ind w:left="0" w:right="1693"/>
        <w:rPr>
          <w:b/>
          <w:szCs w:val="20"/>
          <w:lang w:val="fr-FR"/>
        </w:rPr>
      </w:pPr>
    </w:p>
    <w:p w:rsidR="00A205FF" w:rsidRPr="0071101C" w:rsidRDefault="00A205FF" w:rsidP="00A205FF">
      <w:pPr>
        <w:spacing w:line="360" w:lineRule="auto"/>
        <w:ind w:left="0" w:right="1693"/>
        <w:rPr>
          <w:szCs w:val="20"/>
          <w:lang w:val="fr-FR"/>
        </w:rPr>
      </w:pPr>
      <w:r w:rsidRPr="0071101C">
        <w:rPr>
          <w:szCs w:val="20"/>
          <w:lang w:val="fr-FR"/>
        </w:rPr>
        <w:t xml:space="preserve">ASKO est le principal grossiste alimentaire norvégien. </w:t>
      </w:r>
      <w:r w:rsidR="001E3F53">
        <w:rPr>
          <w:szCs w:val="20"/>
          <w:lang w:val="fr-FR"/>
        </w:rPr>
        <w:t>S</w:t>
      </w:r>
      <w:r w:rsidRPr="0071101C">
        <w:rPr>
          <w:szCs w:val="20"/>
          <w:lang w:val="fr-FR"/>
        </w:rPr>
        <w:t xml:space="preserve">a gamme </w:t>
      </w:r>
      <w:r w:rsidR="001E3F53">
        <w:rPr>
          <w:szCs w:val="20"/>
          <w:lang w:val="fr-FR"/>
        </w:rPr>
        <w:t xml:space="preserve">de produits </w:t>
      </w:r>
      <w:r w:rsidRPr="0071101C">
        <w:rPr>
          <w:szCs w:val="20"/>
          <w:lang w:val="fr-FR"/>
        </w:rPr>
        <w:t xml:space="preserve">comprend plus de 25 000 articles et est composée de produits frais et congelés ainsi que de produits secs, de boissons et d'articles non alimentaires. </w:t>
      </w:r>
      <w:r w:rsidR="001E3F53">
        <w:rPr>
          <w:szCs w:val="20"/>
          <w:lang w:val="fr-FR"/>
        </w:rPr>
        <w:t>L</w:t>
      </w:r>
      <w:r w:rsidRPr="0071101C">
        <w:rPr>
          <w:szCs w:val="20"/>
          <w:lang w:val="fr-FR"/>
        </w:rPr>
        <w:t>'entreprise fournit environ 16 000 clients partout en Norvège, y compris des restaurants, des hôtels, des cuisines collectives ainsi que des supermarchés.</w:t>
      </w:r>
    </w:p>
    <w:p w:rsidR="00A205FF" w:rsidRPr="0071101C" w:rsidRDefault="00A205FF" w:rsidP="00A205FF">
      <w:pPr>
        <w:spacing w:line="360" w:lineRule="auto"/>
        <w:ind w:left="0" w:right="1693"/>
        <w:rPr>
          <w:szCs w:val="20"/>
          <w:lang w:val="fr-FR"/>
        </w:rPr>
      </w:pPr>
    </w:p>
    <w:p w:rsidR="00A205FF" w:rsidRPr="0071101C" w:rsidRDefault="00B55D21" w:rsidP="00A205FF">
      <w:pPr>
        <w:spacing w:line="360" w:lineRule="auto"/>
        <w:ind w:left="0" w:right="1693"/>
        <w:rPr>
          <w:b/>
          <w:szCs w:val="20"/>
          <w:lang w:val="fr-FR"/>
        </w:rPr>
      </w:pPr>
      <w:r w:rsidRPr="0071101C">
        <w:rPr>
          <w:b/>
          <w:szCs w:val="20"/>
          <w:lang w:val="fr-FR"/>
        </w:rPr>
        <w:t>L'efficacité, la durabilité et l'ergonomie au cœur de la solution</w:t>
      </w:r>
    </w:p>
    <w:p w:rsidR="00A205FF" w:rsidRPr="0071101C" w:rsidRDefault="00A205FF" w:rsidP="00A205FF">
      <w:pPr>
        <w:spacing w:line="360" w:lineRule="auto"/>
        <w:ind w:left="0" w:right="1693"/>
        <w:rPr>
          <w:szCs w:val="20"/>
          <w:lang w:val="fr-FR"/>
        </w:rPr>
      </w:pPr>
    </w:p>
    <w:p w:rsidR="00A205FF" w:rsidRPr="0071101C" w:rsidRDefault="00A205FF" w:rsidP="00A205FF">
      <w:pPr>
        <w:spacing w:line="360" w:lineRule="auto"/>
        <w:ind w:left="0" w:right="1693"/>
        <w:rPr>
          <w:szCs w:val="20"/>
          <w:lang w:val="fr-FR"/>
        </w:rPr>
      </w:pPr>
      <w:r w:rsidRPr="0071101C">
        <w:rPr>
          <w:szCs w:val="20"/>
          <w:lang w:val="fr-FR"/>
        </w:rPr>
        <w:t xml:space="preserve">Actuellement, ASKO compte sur un réseau de 13 centres de distribution, mais le centre </w:t>
      </w:r>
      <w:r w:rsidR="001E3F53">
        <w:rPr>
          <w:szCs w:val="20"/>
          <w:lang w:val="fr-FR"/>
        </w:rPr>
        <w:t>de préparation</w:t>
      </w:r>
      <w:r w:rsidR="001E3F53" w:rsidRPr="0071101C">
        <w:rPr>
          <w:szCs w:val="20"/>
          <w:lang w:val="fr-FR"/>
        </w:rPr>
        <w:t xml:space="preserve"> </w:t>
      </w:r>
      <w:r w:rsidRPr="0071101C">
        <w:rPr>
          <w:szCs w:val="20"/>
          <w:lang w:val="fr-FR"/>
        </w:rPr>
        <w:t xml:space="preserve">des commandes à Trondheim atteint cependant de plus en plus ses limites de capacité. Avec l'extension, </w:t>
      </w:r>
      <w:r w:rsidR="001E3F53">
        <w:rPr>
          <w:szCs w:val="20"/>
          <w:lang w:val="fr-FR"/>
        </w:rPr>
        <w:t>ASKO</w:t>
      </w:r>
      <w:r w:rsidRPr="0071101C">
        <w:rPr>
          <w:szCs w:val="20"/>
          <w:lang w:val="fr-FR"/>
        </w:rPr>
        <w:t xml:space="preserve"> </w:t>
      </w:r>
      <w:r w:rsidR="001E3F53">
        <w:rPr>
          <w:szCs w:val="20"/>
          <w:lang w:val="fr-FR"/>
        </w:rPr>
        <w:t xml:space="preserve">s’équipe pour répondre aux besoins </w:t>
      </w:r>
      <w:r w:rsidRPr="0071101C">
        <w:rPr>
          <w:szCs w:val="20"/>
          <w:lang w:val="fr-FR"/>
        </w:rPr>
        <w:t xml:space="preserve">de </w:t>
      </w:r>
      <w:r w:rsidR="001E3F53">
        <w:rPr>
          <w:szCs w:val="20"/>
          <w:lang w:val="fr-FR"/>
        </w:rPr>
        <w:t>s</w:t>
      </w:r>
      <w:r w:rsidRPr="0071101C">
        <w:rPr>
          <w:szCs w:val="20"/>
          <w:lang w:val="fr-FR"/>
        </w:rPr>
        <w:t>a croissance prévue jusqu'en 2040.</w:t>
      </w:r>
    </w:p>
    <w:p w:rsidR="00A205FF" w:rsidRPr="0071101C" w:rsidRDefault="00A205FF" w:rsidP="00A205FF">
      <w:pPr>
        <w:spacing w:line="360" w:lineRule="auto"/>
        <w:ind w:left="0" w:right="1693"/>
        <w:rPr>
          <w:szCs w:val="20"/>
          <w:lang w:val="fr-FR"/>
        </w:rPr>
      </w:pPr>
    </w:p>
    <w:p w:rsidR="00A205FF" w:rsidRDefault="00936607" w:rsidP="00A205FF">
      <w:pPr>
        <w:spacing w:line="360" w:lineRule="auto"/>
        <w:ind w:left="0" w:right="1693"/>
        <w:rPr>
          <w:szCs w:val="20"/>
          <w:lang w:val="fr-FR"/>
        </w:rPr>
      </w:pPr>
      <w:r w:rsidRPr="0071101C">
        <w:rPr>
          <w:szCs w:val="20"/>
          <w:lang w:val="fr-FR"/>
        </w:rPr>
        <w:t xml:space="preserve">L'élément central performant de la solution est un système de congélation de 18 mètres de haut comprenant un entrepôt de palettes grande hauteur avec des transstockeurs ainsi qu'un magasin automatisé </w:t>
      </w:r>
      <w:r w:rsidR="001E3F53">
        <w:rPr>
          <w:szCs w:val="20"/>
          <w:lang w:val="fr-FR"/>
        </w:rPr>
        <w:t>de</w:t>
      </w:r>
      <w:r w:rsidRPr="0071101C">
        <w:rPr>
          <w:szCs w:val="20"/>
          <w:lang w:val="fr-FR"/>
        </w:rPr>
        <w:t xml:space="preserve"> 38 000 emplacements de stockage. La conception intelligente </w:t>
      </w:r>
      <w:r w:rsidR="00951027">
        <w:rPr>
          <w:szCs w:val="20"/>
          <w:lang w:val="fr-FR"/>
        </w:rPr>
        <w:t xml:space="preserve">a </w:t>
      </w:r>
      <w:r w:rsidRPr="0071101C">
        <w:rPr>
          <w:szCs w:val="20"/>
          <w:lang w:val="fr-FR"/>
        </w:rPr>
        <w:t>perm</w:t>
      </w:r>
      <w:r w:rsidR="00951027">
        <w:rPr>
          <w:szCs w:val="20"/>
          <w:lang w:val="fr-FR"/>
        </w:rPr>
        <w:t>is</w:t>
      </w:r>
      <w:r w:rsidRPr="0071101C">
        <w:rPr>
          <w:szCs w:val="20"/>
          <w:lang w:val="fr-FR"/>
        </w:rPr>
        <w:t xml:space="preserve"> </w:t>
      </w:r>
      <w:r w:rsidR="00951027">
        <w:rPr>
          <w:szCs w:val="20"/>
          <w:lang w:val="fr-FR"/>
        </w:rPr>
        <w:t>l’optimisation de l</w:t>
      </w:r>
      <w:r w:rsidRPr="0071101C">
        <w:rPr>
          <w:szCs w:val="20"/>
          <w:lang w:val="fr-FR"/>
        </w:rPr>
        <w:t>a su</w:t>
      </w:r>
      <w:r w:rsidR="00951027">
        <w:rPr>
          <w:szCs w:val="20"/>
          <w:lang w:val="fr-FR"/>
        </w:rPr>
        <w:t>rface disponible</w:t>
      </w:r>
      <w:r w:rsidRPr="0071101C">
        <w:rPr>
          <w:szCs w:val="20"/>
          <w:lang w:val="fr-FR"/>
        </w:rPr>
        <w:t xml:space="preserve">. En plus de l'augmentation de la productivité, la réduction des temps de traitement et </w:t>
      </w:r>
      <w:r w:rsidR="00BA0BBE" w:rsidRPr="0071101C">
        <w:rPr>
          <w:szCs w:val="20"/>
          <w:lang w:val="fr-FR"/>
        </w:rPr>
        <w:t>l'accentuation</w:t>
      </w:r>
      <w:r w:rsidRPr="0071101C">
        <w:rPr>
          <w:szCs w:val="20"/>
          <w:lang w:val="fr-FR"/>
        </w:rPr>
        <w:t xml:space="preserve"> sur les processus durables, l'ergonomie pour les opérateurs est améliorée.</w:t>
      </w:r>
    </w:p>
    <w:p w:rsidR="0071101C" w:rsidRPr="0071101C" w:rsidRDefault="0071101C" w:rsidP="00A205FF">
      <w:pPr>
        <w:spacing w:line="360" w:lineRule="auto"/>
        <w:ind w:left="0" w:right="1693"/>
        <w:rPr>
          <w:szCs w:val="20"/>
          <w:lang w:val="fr-FR"/>
        </w:rPr>
      </w:pPr>
    </w:p>
    <w:p w:rsidR="00A205FF" w:rsidRPr="0071101C" w:rsidRDefault="00A205FF" w:rsidP="00A205FF">
      <w:pPr>
        <w:spacing w:line="360" w:lineRule="auto"/>
        <w:ind w:left="0" w:right="1693"/>
        <w:rPr>
          <w:b/>
          <w:szCs w:val="20"/>
          <w:lang w:val="fr-FR"/>
        </w:rPr>
      </w:pPr>
      <w:r w:rsidRPr="0071101C">
        <w:rPr>
          <w:b/>
          <w:szCs w:val="20"/>
          <w:lang w:val="fr-FR"/>
        </w:rPr>
        <w:t>L'expérience dans l'automatisation des systèmes de stockage de congélation est le critère décisif</w:t>
      </w:r>
    </w:p>
    <w:p w:rsidR="00A205FF" w:rsidRPr="0071101C" w:rsidRDefault="00A205FF" w:rsidP="00A205FF">
      <w:pPr>
        <w:spacing w:line="360" w:lineRule="auto"/>
        <w:ind w:left="0" w:right="1693"/>
        <w:rPr>
          <w:szCs w:val="20"/>
          <w:lang w:val="fr-FR"/>
        </w:rPr>
      </w:pPr>
    </w:p>
    <w:p w:rsidR="00A205FF" w:rsidRPr="0071101C" w:rsidRDefault="00A205FF" w:rsidP="00A205FF">
      <w:pPr>
        <w:spacing w:line="360" w:lineRule="auto"/>
        <w:ind w:left="0" w:right="1693"/>
        <w:rPr>
          <w:szCs w:val="20"/>
          <w:lang w:val="fr-FR"/>
        </w:rPr>
      </w:pPr>
      <w:r w:rsidRPr="0071101C">
        <w:rPr>
          <w:szCs w:val="20"/>
          <w:lang w:val="fr-FR"/>
        </w:rPr>
        <w:t xml:space="preserve">« Nous sommes heureux qu'ASKO, le leader </w:t>
      </w:r>
      <w:r w:rsidR="00920070">
        <w:rPr>
          <w:szCs w:val="20"/>
          <w:lang w:val="fr-FR"/>
        </w:rPr>
        <w:t>du marché alimentaire norvégien</w:t>
      </w:r>
      <w:r w:rsidRPr="0071101C">
        <w:rPr>
          <w:szCs w:val="20"/>
          <w:lang w:val="fr-FR"/>
        </w:rPr>
        <w:t xml:space="preserve"> fa</w:t>
      </w:r>
      <w:r w:rsidR="00BA0BBE">
        <w:rPr>
          <w:szCs w:val="20"/>
          <w:lang w:val="fr-FR"/>
        </w:rPr>
        <w:t>sse</w:t>
      </w:r>
      <w:r w:rsidRPr="0071101C">
        <w:rPr>
          <w:szCs w:val="20"/>
          <w:lang w:val="fr-FR"/>
        </w:rPr>
        <w:t xml:space="preserve"> confiance à l'expertise TGW dans le stockage de </w:t>
      </w:r>
      <w:r w:rsidR="00BA0BBE">
        <w:rPr>
          <w:szCs w:val="20"/>
          <w:lang w:val="fr-FR"/>
        </w:rPr>
        <w:t xml:space="preserve">produits </w:t>
      </w:r>
      <w:r w:rsidRPr="0071101C">
        <w:rPr>
          <w:szCs w:val="20"/>
          <w:lang w:val="fr-FR"/>
        </w:rPr>
        <w:t>cong</w:t>
      </w:r>
      <w:r w:rsidR="00BA0BBE">
        <w:rPr>
          <w:szCs w:val="20"/>
          <w:lang w:val="fr-FR"/>
        </w:rPr>
        <w:t>elés</w:t>
      </w:r>
      <w:r w:rsidRPr="0071101C">
        <w:rPr>
          <w:szCs w:val="20"/>
          <w:lang w:val="fr-FR"/>
        </w:rPr>
        <w:t xml:space="preserve"> », </w:t>
      </w:r>
      <w:r w:rsidR="00BA0BBE">
        <w:rPr>
          <w:szCs w:val="20"/>
          <w:lang w:val="fr-FR"/>
        </w:rPr>
        <w:t>souligne</w:t>
      </w:r>
      <w:r w:rsidR="00BA0BBE" w:rsidRPr="0071101C">
        <w:rPr>
          <w:szCs w:val="20"/>
          <w:lang w:val="fr-FR"/>
        </w:rPr>
        <w:t xml:space="preserve"> </w:t>
      </w:r>
      <w:r w:rsidRPr="0071101C">
        <w:rPr>
          <w:szCs w:val="20"/>
          <w:lang w:val="fr-FR"/>
        </w:rPr>
        <w:t>Kristian Brink</w:t>
      </w:r>
      <w:r w:rsidR="00BA0BBE">
        <w:rPr>
          <w:szCs w:val="20"/>
          <w:lang w:val="fr-FR"/>
        </w:rPr>
        <w:t>,</w:t>
      </w:r>
      <w:r w:rsidR="00BA0BBE" w:rsidRPr="00BA0BBE">
        <w:rPr>
          <w:szCs w:val="20"/>
          <w:lang w:val="fr-FR"/>
        </w:rPr>
        <w:t xml:space="preserve"> </w:t>
      </w:r>
      <w:r w:rsidR="00FB7BAA">
        <w:rPr>
          <w:szCs w:val="20"/>
          <w:lang w:val="fr-FR"/>
        </w:rPr>
        <w:t>responsable commercial du projet</w:t>
      </w:r>
      <w:r w:rsidRPr="0071101C">
        <w:rPr>
          <w:szCs w:val="20"/>
          <w:lang w:val="fr-FR"/>
        </w:rPr>
        <w:t xml:space="preserve">. « Parmi nos clients dans ce segment, nous comptons notamment des grands noms </w:t>
      </w:r>
      <w:r w:rsidR="00FB7BAA">
        <w:rPr>
          <w:szCs w:val="20"/>
          <w:lang w:val="fr-FR"/>
        </w:rPr>
        <w:t>tels</w:t>
      </w:r>
      <w:r w:rsidR="00B66094">
        <w:rPr>
          <w:szCs w:val="20"/>
          <w:lang w:val="fr-FR"/>
        </w:rPr>
        <w:t xml:space="preserve"> que </w:t>
      </w:r>
      <w:r w:rsidRPr="0071101C">
        <w:rPr>
          <w:szCs w:val="20"/>
          <w:lang w:val="fr-FR"/>
        </w:rPr>
        <w:t xml:space="preserve">COOP </w:t>
      </w:r>
      <w:r w:rsidR="00B66094">
        <w:rPr>
          <w:szCs w:val="20"/>
          <w:lang w:val="fr-FR"/>
        </w:rPr>
        <w:t xml:space="preserve">en </w:t>
      </w:r>
      <w:r w:rsidRPr="0071101C">
        <w:rPr>
          <w:szCs w:val="20"/>
          <w:lang w:val="fr-FR"/>
        </w:rPr>
        <w:t xml:space="preserve">Suisse, </w:t>
      </w:r>
      <w:proofErr w:type="spellStart"/>
      <w:r w:rsidRPr="0071101C">
        <w:rPr>
          <w:szCs w:val="20"/>
          <w:lang w:val="fr-FR"/>
        </w:rPr>
        <w:t>Nordfrost</w:t>
      </w:r>
      <w:proofErr w:type="spellEnd"/>
      <w:r w:rsidRPr="0071101C">
        <w:rPr>
          <w:szCs w:val="20"/>
          <w:lang w:val="fr-FR"/>
        </w:rPr>
        <w:t xml:space="preserve"> </w:t>
      </w:r>
      <w:r w:rsidR="00B66094">
        <w:rPr>
          <w:szCs w:val="20"/>
          <w:lang w:val="fr-FR"/>
        </w:rPr>
        <w:t xml:space="preserve">en Allemagne </w:t>
      </w:r>
      <w:r w:rsidRPr="0071101C">
        <w:rPr>
          <w:szCs w:val="20"/>
          <w:lang w:val="fr-FR"/>
        </w:rPr>
        <w:t xml:space="preserve">ou ICA </w:t>
      </w:r>
      <w:r w:rsidR="00B66094">
        <w:rPr>
          <w:szCs w:val="20"/>
          <w:lang w:val="fr-FR"/>
        </w:rPr>
        <w:t xml:space="preserve">en </w:t>
      </w:r>
      <w:r w:rsidRPr="0071101C">
        <w:rPr>
          <w:szCs w:val="20"/>
          <w:lang w:val="fr-FR"/>
        </w:rPr>
        <w:t>Suède. »</w:t>
      </w:r>
    </w:p>
    <w:p w:rsidR="00A205FF" w:rsidRPr="0071101C" w:rsidRDefault="00A205FF" w:rsidP="00A205FF">
      <w:pPr>
        <w:spacing w:line="360" w:lineRule="auto"/>
        <w:ind w:left="0" w:right="1693"/>
        <w:rPr>
          <w:szCs w:val="20"/>
          <w:lang w:val="fr-FR"/>
        </w:rPr>
      </w:pPr>
    </w:p>
    <w:p w:rsidR="00A205FF" w:rsidRPr="0071101C" w:rsidRDefault="00A205FF" w:rsidP="006651F4">
      <w:pPr>
        <w:spacing w:line="360" w:lineRule="auto"/>
        <w:ind w:left="0" w:right="1693"/>
        <w:rPr>
          <w:szCs w:val="20"/>
          <w:lang w:val="fr-FR"/>
        </w:rPr>
      </w:pPr>
    </w:p>
    <w:p w:rsidR="00EB38B0" w:rsidRPr="0071101C" w:rsidRDefault="0001304A" w:rsidP="004E238B">
      <w:pPr>
        <w:spacing w:line="360" w:lineRule="auto"/>
        <w:ind w:left="0" w:right="1695"/>
        <w:rPr>
          <w:szCs w:val="20"/>
          <w:lang w:val="fr-FR"/>
        </w:rPr>
      </w:pPr>
      <w:hyperlink r:id="rId11" w:history="1">
        <w:r w:rsidR="001C2591" w:rsidRPr="0071101C">
          <w:rPr>
            <w:rStyle w:val="Lienhypertexte"/>
            <w:szCs w:val="20"/>
            <w:lang w:val="fr-FR"/>
          </w:rPr>
          <w:t>www.tgw-group.com</w:t>
        </w:r>
      </w:hyperlink>
    </w:p>
    <w:p w:rsidR="00EB38B0" w:rsidRPr="0071101C" w:rsidRDefault="00EB38B0" w:rsidP="004E238B">
      <w:pPr>
        <w:spacing w:line="360" w:lineRule="auto"/>
        <w:ind w:left="0" w:right="1695"/>
        <w:rPr>
          <w:szCs w:val="20"/>
          <w:lang w:val="fr-FR"/>
        </w:rPr>
      </w:pPr>
    </w:p>
    <w:p w:rsidR="008C1E1E" w:rsidRPr="0071101C" w:rsidRDefault="008C1E1E"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F505F9" w:rsidRPr="0071101C" w:rsidRDefault="00F505F9" w:rsidP="00BC7952">
      <w:pPr>
        <w:spacing w:line="240" w:lineRule="auto"/>
        <w:ind w:left="0" w:right="1693"/>
        <w:rPr>
          <w:szCs w:val="20"/>
          <w:lang w:val="fr-FR"/>
        </w:rPr>
      </w:pPr>
    </w:p>
    <w:p w:rsidR="001346E0" w:rsidRPr="0071101C" w:rsidRDefault="001346E0" w:rsidP="00BC7952">
      <w:pPr>
        <w:spacing w:line="240" w:lineRule="auto"/>
        <w:ind w:left="0" w:right="1693"/>
        <w:rPr>
          <w:szCs w:val="20"/>
          <w:lang w:val="fr-FR"/>
        </w:rPr>
      </w:pPr>
    </w:p>
    <w:p w:rsidR="0091373B" w:rsidRPr="0071101C" w:rsidRDefault="0091373B" w:rsidP="00BC7952">
      <w:pPr>
        <w:spacing w:line="240" w:lineRule="auto"/>
        <w:ind w:left="0" w:right="1693"/>
        <w:rPr>
          <w:szCs w:val="20"/>
          <w:lang w:val="fr-FR"/>
        </w:rPr>
      </w:pPr>
    </w:p>
    <w:p w:rsidR="001346E0" w:rsidRPr="0071101C" w:rsidRDefault="001346E0" w:rsidP="00BC7952">
      <w:pPr>
        <w:spacing w:line="240" w:lineRule="auto"/>
        <w:ind w:left="0" w:right="1693"/>
        <w:rPr>
          <w:szCs w:val="20"/>
          <w:lang w:val="fr-FR"/>
        </w:rPr>
      </w:pPr>
    </w:p>
    <w:p w:rsidR="003C06F1" w:rsidRPr="0071101C" w:rsidRDefault="003C06F1" w:rsidP="00BC7952">
      <w:pPr>
        <w:spacing w:line="240" w:lineRule="auto"/>
        <w:ind w:left="0" w:right="1693"/>
        <w:rPr>
          <w:szCs w:val="20"/>
          <w:lang w:val="fr-FR"/>
        </w:rPr>
      </w:pPr>
    </w:p>
    <w:p w:rsidR="00BC7952" w:rsidRPr="0071101C" w:rsidRDefault="00BC7952" w:rsidP="00BC7952">
      <w:pPr>
        <w:spacing w:line="240" w:lineRule="auto"/>
        <w:ind w:left="0" w:right="1693"/>
        <w:rPr>
          <w:rStyle w:val="Lienhypertexte"/>
          <w:b/>
          <w:color w:val="auto"/>
          <w:u w:val="none"/>
          <w:lang w:val="fr-FR"/>
        </w:rPr>
      </w:pPr>
      <w:r w:rsidRPr="0071101C">
        <w:rPr>
          <w:rStyle w:val="Lienhypertexte"/>
          <w:b/>
          <w:color w:val="auto"/>
          <w:u w:val="none"/>
          <w:lang w:val="fr-FR"/>
        </w:rPr>
        <w:t>À propos de TGW Logistics Group :</w:t>
      </w: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71101C">
        <w:rPr>
          <w:rStyle w:val="Lienhypertexte"/>
          <w:color w:val="auto"/>
          <w:u w:val="none"/>
          <w:lang w:val="fr-FR"/>
        </w:rPr>
        <w:t>de A</w:t>
      </w:r>
      <w:proofErr w:type="gramEnd"/>
      <w:r w:rsidRPr="0071101C">
        <w:rPr>
          <w:rStyle w:val="Lienhypertexte"/>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rsidR="00BC7952" w:rsidRPr="0071101C" w:rsidRDefault="00BC7952" w:rsidP="00BC7952">
      <w:pPr>
        <w:spacing w:line="240" w:lineRule="auto"/>
        <w:ind w:left="0" w:right="1693"/>
        <w:rPr>
          <w:rStyle w:val="Lienhypertexte"/>
          <w:color w:val="auto"/>
          <w:u w:val="none"/>
          <w:lang w:val="fr-FR"/>
        </w:rPr>
      </w:pP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TGW Logistics Group a des filiales en Europe, en Chine et aux États-Unis et compte plus de 4 400 employés répartis dans le monde entier. Au cours de l'exercice 2021/2022, l'entreprise a réalisé un chiffre d'affaires total de 924 millions d'euros.</w:t>
      </w:r>
    </w:p>
    <w:p w:rsidR="00BC7952" w:rsidRPr="0071101C" w:rsidRDefault="00BC7952" w:rsidP="00BC7952">
      <w:pPr>
        <w:spacing w:line="240" w:lineRule="auto"/>
        <w:ind w:left="0" w:right="1693"/>
        <w:rPr>
          <w:rStyle w:val="Lienhypertexte"/>
          <w:color w:val="auto"/>
          <w:u w:val="none"/>
          <w:lang w:val="fr-FR"/>
        </w:rPr>
      </w:pPr>
    </w:p>
    <w:p w:rsidR="00BC7952" w:rsidRPr="0071101C" w:rsidRDefault="00BC7952" w:rsidP="00BC7952">
      <w:pPr>
        <w:spacing w:line="240" w:lineRule="auto"/>
        <w:ind w:left="0" w:right="1693"/>
        <w:rPr>
          <w:rStyle w:val="Lienhypertexte"/>
          <w:color w:val="auto"/>
          <w:u w:val="none"/>
          <w:lang w:val="fr-FR"/>
        </w:rPr>
      </w:pPr>
    </w:p>
    <w:p w:rsidR="00BC7952" w:rsidRPr="0071101C" w:rsidRDefault="00BC7952" w:rsidP="00BC7952">
      <w:pPr>
        <w:spacing w:line="240" w:lineRule="auto"/>
        <w:ind w:left="0" w:right="1693"/>
        <w:rPr>
          <w:rStyle w:val="Lienhypertexte"/>
          <w:color w:val="auto"/>
          <w:u w:val="none"/>
          <w:lang w:val="fr-FR"/>
        </w:rPr>
      </w:pPr>
    </w:p>
    <w:p w:rsidR="00BC7952" w:rsidRPr="0071101C" w:rsidRDefault="00BC7952" w:rsidP="00BC7952">
      <w:pPr>
        <w:spacing w:line="240" w:lineRule="auto"/>
        <w:ind w:left="0" w:right="1693"/>
        <w:rPr>
          <w:rStyle w:val="Lienhypertexte"/>
          <w:b/>
          <w:color w:val="auto"/>
          <w:u w:val="none"/>
          <w:lang w:val="fr-FR"/>
        </w:rPr>
      </w:pPr>
      <w:r w:rsidRPr="0071101C">
        <w:rPr>
          <w:rStyle w:val="Lienhypertexte"/>
          <w:b/>
          <w:color w:val="auto"/>
          <w:u w:val="none"/>
          <w:lang w:val="fr-FR"/>
        </w:rPr>
        <w:t>Images</w:t>
      </w: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Reproduction avec indication de la source et pour les rapports de presse qui traitent essentiellement de TGW Logistics Group GmbH sans honoraires. Pas de reproduction sans honoraires pour des fins commerciales.</w:t>
      </w:r>
    </w:p>
    <w:p w:rsidR="00BC7952" w:rsidRPr="0071101C" w:rsidRDefault="00BC7952" w:rsidP="00BC7952">
      <w:pPr>
        <w:spacing w:line="240" w:lineRule="auto"/>
        <w:ind w:left="0" w:right="1693"/>
        <w:rPr>
          <w:rStyle w:val="Lienhypertexte"/>
          <w:color w:val="auto"/>
          <w:u w:val="none"/>
          <w:lang w:val="fr-FR"/>
        </w:rPr>
      </w:pPr>
    </w:p>
    <w:p w:rsidR="00BC7952" w:rsidRPr="0071101C" w:rsidRDefault="00BC7952" w:rsidP="00BC7952">
      <w:pPr>
        <w:spacing w:line="240" w:lineRule="auto"/>
        <w:ind w:left="0" w:right="1693"/>
        <w:rPr>
          <w:rStyle w:val="Lienhypertexte"/>
          <w:color w:val="auto"/>
          <w:u w:val="none"/>
          <w:lang w:val="fr-FR"/>
        </w:rPr>
      </w:pPr>
    </w:p>
    <w:p w:rsidR="00BC7952" w:rsidRPr="0071101C" w:rsidRDefault="00BC7952" w:rsidP="00BC7952">
      <w:pPr>
        <w:spacing w:line="240" w:lineRule="auto"/>
        <w:ind w:left="0" w:right="1693"/>
        <w:rPr>
          <w:rStyle w:val="Lienhypertexte"/>
          <w:b/>
          <w:color w:val="auto"/>
          <w:u w:val="none"/>
          <w:lang w:val="fr-FR"/>
        </w:rPr>
      </w:pPr>
      <w:r w:rsidRPr="0071101C">
        <w:rPr>
          <w:rStyle w:val="Lienhypertexte"/>
          <w:b/>
          <w:color w:val="auto"/>
          <w:u w:val="none"/>
          <w:lang w:val="fr-FR"/>
        </w:rPr>
        <w:t>Contact :</w:t>
      </w: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TGW Logistics Group GmbH</w:t>
      </w: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A-4614 Marchtrenk, Ludwig Szinicz Straße 3</w:t>
      </w: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T : +</w:t>
      </w:r>
      <w:proofErr w:type="gramStart"/>
      <w:r w:rsidRPr="0071101C">
        <w:rPr>
          <w:rStyle w:val="Lienhypertexte"/>
          <w:color w:val="auto"/>
          <w:u w:val="none"/>
          <w:lang w:val="fr-FR"/>
        </w:rPr>
        <w:t>43.(</w:t>
      </w:r>
      <w:proofErr w:type="gramEnd"/>
      <w:r w:rsidRPr="0071101C">
        <w:rPr>
          <w:rStyle w:val="Lienhypertexte"/>
          <w:color w:val="auto"/>
          <w:u w:val="none"/>
          <w:lang w:val="fr-FR"/>
        </w:rPr>
        <w:t>0)50.486-0</w:t>
      </w: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F : +</w:t>
      </w:r>
      <w:proofErr w:type="gramStart"/>
      <w:r w:rsidRPr="0071101C">
        <w:rPr>
          <w:rStyle w:val="Lienhypertexte"/>
          <w:color w:val="auto"/>
          <w:u w:val="none"/>
          <w:lang w:val="fr-FR"/>
        </w:rPr>
        <w:t>43.(</w:t>
      </w:r>
      <w:proofErr w:type="gramEnd"/>
      <w:r w:rsidRPr="0071101C">
        <w:rPr>
          <w:rStyle w:val="Lienhypertexte"/>
          <w:color w:val="auto"/>
          <w:u w:val="none"/>
          <w:lang w:val="fr-FR"/>
        </w:rPr>
        <w:t>0)50.486-31</w:t>
      </w: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Courriel : tgw@tgw-group.com</w:t>
      </w:r>
    </w:p>
    <w:p w:rsidR="00BC7952" w:rsidRPr="0071101C" w:rsidRDefault="00BC7952" w:rsidP="00BC7952">
      <w:pPr>
        <w:spacing w:line="240" w:lineRule="auto"/>
        <w:ind w:left="0" w:right="1693"/>
        <w:rPr>
          <w:rStyle w:val="Lienhypertexte"/>
          <w:color w:val="auto"/>
          <w:u w:val="none"/>
          <w:lang w:val="fr-FR"/>
        </w:rPr>
      </w:pPr>
    </w:p>
    <w:p w:rsidR="00F92A0D" w:rsidRPr="0071101C" w:rsidRDefault="00F92A0D" w:rsidP="00BC7952">
      <w:pPr>
        <w:spacing w:line="240" w:lineRule="auto"/>
        <w:ind w:left="0" w:right="1693"/>
        <w:rPr>
          <w:rStyle w:val="Lienhypertexte"/>
          <w:color w:val="auto"/>
          <w:u w:val="none"/>
          <w:lang w:val="fr-FR"/>
        </w:rPr>
      </w:pPr>
    </w:p>
    <w:p w:rsidR="00F92A0D" w:rsidRPr="0071101C" w:rsidRDefault="00F92A0D" w:rsidP="00BC7952">
      <w:pPr>
        <w:spacing w:line="240" w:lineRule="auto"/>
        <w:ind w:left="0" w:right="1693"/>
        <w:rPr>
          <w:rStyle w:val="Lienhypertexte"/>
          <w:color w:val="auto"/>
          <w:u w:val="none"/>
          <w:lang w:val="fr-FR"/>
        </w:rPr>
      </w:pPr>
      <w:r w:rsidRPr="0071101C">
        <w:rPr>
          <w:rStyle w:val="Lienhypertexte"/>
          <w:color w:val="auto"/>
          <w:u w:val="none"/>
          <w:lang w:val="fr-FR"/>
        </w:rPr>
        <w:t>Attaché de presse :</w:t>
      </w:r>
    </w:p>
    <w:p w:rsidR="00F92A0D"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Alexander Tahedl</w:t>
      </w: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Communications Specialist</w:t>
      </w: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T : +</w:t>
      </w:r>
      <w:proofErr w:type="gramStart"/>
      <w:r w:rsidRPr="0071101C">
        <w:rPr>
          <w:rStyle w:val="Lienhypertexte"/>
          <w:color w:val="auto"/>
          <w:u w:val="none"/>
          <w:lang w:val="fr-FR"/>
        </w:rPr>
        <w:t>43.(</w:t>
      </w:r>
      <w:proofErr w:type="gramEnd"/>
      <w:r w:rsidRPr="0071101C">
        <w:rPr>
          <w:rStyle w:val="Lienhypertexte"/>
          <w:color w:val="auto"/>
          <w:u w:val="none"/>
          <w:lang w:val="fr-FR"/>
        </w:rPr>
        <w:t>0)50.486-2267</w:t>
      </w:r>
    </w:p>
    <w:p w:rsidR="00BC7952" w:rsidRPr="0071101C" w:rsidRDefault="00BC7952" w:rsidP="00BC7952">
      <w:pPr>
        <w:spacing w:line="240" w:lineRule="auto"/>
        <w:ind w:left="0" w:right="1693"/>
        <w:rPr>
          <w:rStyle w:val="Lienhypertexte"/>
          <w:color w:val="auto"/>
          <w:u w:val="none"/>
          <w:lang w:val="fr-FR"/>
        </w:rPr>
      </w:pPr>
      <w:r w:rsidRPr="0071101C">
        <w:rPr>
          <w:rStyle w:val="Lienhypertexte"/>
          <w:color w:val="auto"/>
          <w:u w:val="none"/>
          <w:lang w:val="fr-FR"/>
        </w:rPr>
        <w:t>M : +</w:t>
      </w:r>
      <w:proofErr w:type="gramStart"/>
      <w:r w:rsidRPr="0071101C">
        <w:rPr>
          <w:rStyle w:val="Lienhypertexte"/>
          <w:color w:val="auto"/>
          <w:u w:val="none"/>
          <w:lang w:val="fr-FR"/>
        </w:rPr>
        <w:t>43.(</w:t>
      </w:r>
      <w:proofErr w:type="gramEnd"/>
      <w:r w:rsidRPr="0071101C">
        <w:rPr>
          <w:rStyle w:val="Lienhypertexte"/>
          <w:color w:val="auto"/>
          <w:u w:val="none"/>
          <w:lang w:val="fr-FR"/>
        </w:rPr>
        <w:t>0)664.88459713</w:t>
      </w:r>
    </w:p>
    <w:p w:rsidR="00BC7952" w:rsidRPr="0071101C" w:rsidRDefault="00BC7952" w:rsidP="00BC7952">
      <w:pPr>
        <w:spacing w:line="240" w:lineRule="auto"/>
        <w:ind w:left="0" w:right="1693"/>
        <w:rPr>
          <w:lang w:val="fr-FR"/>
        </w:rPr>
      </w:pPr>
      <w:r w:rsidRPr="0071101C">
        <w:rPr>
          <w:rStyle w:val="Lienhypertexte"/>
          <w:color w:val="auto"/>
          <w:u w:val="none"/>
          <w:lang w:val="fr-FR"/>
        </w:rPr>
        <w:t>alexander.tahedl@tgw-group.com</w:t>
      </w:r>
    </w:p>
    <w:p w:rsidR="00BC7952" w:rsidRPr="0071101C" w:rsidRDefault="00BC7952" w:rsidP="00BC7952">
      <w:pPr>
        <w:spacing w:line="240" w:lineRule="auto"/>
        <w:ind w:left="0" w:right="1693"/>
        <w:rPr>
          <w:rStyle w:val="Lienhypertexte"/>
          <w:color w:val="auto"/>
          <w:u w:val="none"/>
          <w:lang w:val="fr-FR"/>
        </w:rPr>
      </w:pPr>
    </w:p>
    <w:p w:rsidR="00BC7952" w:rsidRPr="0071101C" w:rsidRDefault="00BC7952" w:rsidP="00BC7952">
      <w:pPr>
        <w:spacing w:line="240" w:lineRule="auto"/>
        <w:ind w:left="0" w:right="1693"/>
        <w:rPr>
          <w:lang w:val="fr-FR"/>
        </w:rPr>
      </w:pPr>
    </w:p>
    <w:p w:rsidR="006231AE" w:rsidRPr="0071101C" w:rsidRDefault="006231AE" w:rsidP="006231AE">
      <w:pPr>
        <w:ind w:left="0" w:right="1693"/>
        <w:rPr>
          <w:lang w:val="fr-FR"/>
        </w:rPr>
      </w:pPr>
    </w:p>
    <w:sectPr w:rsidR="006231AE" w:rsidRPr="0071101C"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04A" w:rsidRDefault="0001304A" w:rsidP="00764006">
      <w:pPr>
        <w:spacing w:line="240" w:lineRule="auto"/>
      </w:pPr>
      <w:r>
        <w:separator/>
      </w:r>
    </w:p>
  </w:endnote>
  <w:endnote w:type="continuationSeparator" w:id="0">
    <w:p w:rsidR="0001304A" w:rsidRDefault="0001304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Pieddepage"/>
            <w:rPr>
              <w:sz w:val="16"/>
              <w:szCs w:val="16"/>
            </w:rPr>
          </w:pPr>
        </w:p>
      </w:tc>
      <w:tc>
        <w:tcPr>
          <w:tcW w:w="283" w:type="dxa"/>
          <w:tcBorders>
            <w:left w:val="single" w:sz="12" w:space="0" w:color="C00418" w:themeColor="accent1"/>
          </w:tcBorders>
        </w:tcPr>
        <w:p w:rsidR="00B72812" w:rsidRPr="00C424EA" w:rsidRDefault="00B72812" w:rsidP="00C424EA">
          <w:pPr>
            <w:pStyle w:val="Pieddepag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920070">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920070">
            <w:rPr>
              <w:noProof/>
              <w:sz w:val="16"/>
              <w:szCs w:val="16"/>
            </w:rPr>
            <w:t>3</w:t>
          </w:r>
          <w:r>
            <w:fldChar w:fldCharType="end"/>
          </w:r>
        </w:p>
      </w:tc>
    </w:tr>
  </w:tbl>
  <w:p w:rsidR="00B72812" w:rsidRPr="000B65C7" w:rsidRDefault="00B72812"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04A" w:rsidRDefault="0001304A" w:rsidP="00764006">
      <w:pPr>
        <w:spacing w:line="240" w:lineRule="auto"/>
      </w:pPr>
      <w:r>
        <w:separator/>
      </w:r>
    </w:p>
  </w:footnote>
  <w:footnote w:type="continuationSeparator" w:id="0">
    <w:p w:rsidR="0001304A" w:rsidRDefault="0001304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rPr>
        <w:lang w:val="fr-FR" w:eastAsia="fr-FR"/>
      </w:rP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B72812" w:rsidRPr="00C54F6A" w:rsidRDefault="00B72812"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1"/>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958"/>
    <w:rsid w:val="00002AC7"/>
    <w:rsid w:val="00007FC6"/>
    <w:rsid w:val="00010CA8"/>
    <w:rsid w:val="00010D99"/>
    <w:rsid w:val="00010E02"/>
    <w:rsid w:val="00011AC1"/>
    <w:rsid w:val="00011F25"/>
    <w:rsid w:val="00011FD5"/>
    <w:rsid w:val="00012D34"/>
    <w:rsid w:val="0001304A"/>
    <w:rsid w:val="00013BFA"/>
    <w:rsid w:val="00014E8D"/>
    <w:rsid w:val="00015103"/>
    <w:rsid w:val="000152EB"/>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5359"/>
    <w:rsid w:val="00036079"/>
    <w:rsid w:val="000362EF"/>
    <w:rsid w:val="0003778F"/>
    <w:rsid w:val="00037DD1"/>
    <w:rsid w:val="00040809"/>
    <w:rsid w:val="00040A6D"/>
    <w:rsid w:val="00041122"/>
    <w:rsid w:val="000417F9"/>
    <w:rsid w:val="00041EC3"/>
    <w:rsid w:val="00042EEB"/>
    <w:rsid w:val="00043476"/>
    <w:rsid w:val="00043B95"/>
    <w:rsid w:val="00044356"/>
    <w:rsid w:val="00044D72"/>
    <w:rsid w:val="0004523A"/>
    <w:rsid w:val="000459AD"/>
    <w:rsid w:val="00045C9C"/>
    <w:rsid w:val="00045F47"/>
    <w:rsid w:val="00047282"/>
    <w:rsid w:val="00047F30"/>
    <w:rsid w:val="00051B1D"/>
    <w:rsid w:val="000522C7"/>
    <w:rsid w:val="00053EC2"/>
    <w:rsid w:val="00055139"/>
    <w:rsid w:val="00055611"/>
    <w:rsid w:val="00055AC1"/>
    <w:rsid w:val="00056AA7"/>
    <w:rsid w:val="00060901"/>
    <w:rsid w:val="00061BDB"/>
    <w:rsid w:val="00064655"/>
    <w:rsid w:val="000649E1"/>
    <w:rsid w:val="00064F2D"/>
    <w:rsid w:val="00066244"/>
    <w:rsid w:val="000662F5"/>
    <w:rsid w:val="00066599"/>
    <w:rsid w:val="0006731A"/>
    <w:rsid w:val="00067ABB"/>
    <w:rsid w:val="00071B58"/>
    <w:rsid w:val="000738F7"/>
    <w:rsid w:val="0007431B"/>
    <w:rsid w:val="00074502"/>
    <w:rsid w:val="00074923"/>
    <w:rsid w:val="00076C37"/>
    <w:rsid w:val="000771FD"/>
    <w:rsid w:val="000809E8"/>
    <w:rsid w:val="00082003"/>
    <w:rsid w:val="0008361B"/>
    <w:rsid w:val="000851A7"/>
    <w:rsid w:val="00086319"/>
    <w:rsid w:val="00086DCB"/>
    <w:rsid w:val="00087166"/>
    <w:rsid w:val="0008730F"/>
    <w:rsid w:val="000905A4"/>
    <w:rsid w:val="00092057"/>
    <w:rsid w:val="00092354"/>
    <w:rsid w:val="00092A61"/>
    <w:rsid w:val="00092EF8"/>
    <w:rsid w:val="000949FC"/>
    <w:rsid w:val="00094D4C"/>
    <w:rsid w:val="000950BC"/>
    <w:rsid w:val="00095936"/>
    <w:rsid w:val="000966B7"/>
    <w:rsid w:val="0009689E"/>
    <w:rsid w:val="00097109"/>
    <w:rsid w:val="000A09BE"/>
    <w:rsid w:val="000A0D43"/>
    <w:rsid w:val="000A0FF3"/>
    <w:rsid w:val="000A1362"/>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589"/>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0D6D"/>
    <w:rsid w:val="000F2C7A"/>
    <w:rsid w:val="000F3959"/>
    <w:rsid w:val="000F5045"/>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91B"/>
    <w:rsid w:val="00113DEF"/>
    <w:rsid w:val="0011473E"/>
    <w:rsid w:val="00114EE0"/>
    <w:rsid w:val="00115207"/>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6E0"/>
    <w:rsid w:val="00134AF1"/>
    <w:rsid w:val="00135E52"/>
    <w:rsid w:val="001404D7"/>
    <w:rsid w:val="00141099"/>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623B"/>
    <w:rsid w:val="00157367"/>
    <w:rsid w:val="00157D30"/>
    <w:rsid w:val="00161A50"/>
    <w:rsid w:val="00162ADF"/>
    <w:rsid w:val="00162D14"/>
    <w:rsid w:val="001635F5"/>
    <w:rsid w:val="001638CF"/>
    <w:rsid w:val="001651A2"/>
    <w:rsid w:val="00165945"/>
    <w:rsid w:val="00165988"/>
    <w:rsid w:val="00165EB0"/>
    <w:rsid w:val="001670BB"/>
    <w:rsid w:val="001671D5"/>
    <w:rsid w:val="0016737D"/>
    <w:rsid w:val="0016742A"/>
    <w:rsid w:val="001702C8"/>
    <w:rsid w:val="0017041B"/>
    <w:rsid w:val="00170529"/>
    <w:rsid w:val="00170957"/>
    <w:rsid w:val="00170E3F"/>
    <w:rsid w:val="001713BB"/>
    <w:rsid w:val="0017365E"/>
    <w:rsid w:val="001741F2"/>
    <w:rsid w:val="001744EA"/>
    <w:rsid w:val="001754C6"/>
    <w:rsid w:val="0017571E"/>
    <w:rsid w:val="001760C0"/>
    <w:rsid w:val="001806F8"/>
    <w:rsid w:val="00180B8A"/>
    <w:rsid w:val="00181863"/>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11B"/>
    <w:rsid w:val="0019186D"/>
    <w:rsid w:val="00191D7D"/>
    <w:rsid w:val="00193AE3"/>
    <w:rsid w:val="0019426A"/>
    <w:rsid w:val="001942C3"/>
    <w:rsid w:val="00194327"/>
    <w:rsid w:val="00194BC4"/>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350C"/>
    <w:rsid w:val="001B450B"/>
    <w:rsid w:val="001B46E9"/>
    <w:rsid w:val="001B4929"/>
    <w:rsid w:val="001B7EEA"/>
    <w:rsid w:val="001C050F"/>
    <w:rsid w:val="001C1838"/>
    <w:rsid w:val="001C1AC7"/>
    <w:rsid w:val="001C2591"/>
    <w:rsid w:val="001C40DE"/>
    <w:rsid w:val="001C5298"/>
    <w:rsid w:val="001C5B42"/>
    <w:rsid w:val="001C7547"/>
    <w:rsid w:val="001C76AE"/>
    <w:rsid w:val="001C77BA"/>
    <w:rsid w:val="001D1169"/>
    <w:rsid w:val="001D2BE9"/>
    <w:rsid w:val="001D3742"/>
    <w:rsid w:val="001D3C48"/>
    <w:rsid w:val="001D3DA5"/>
    <w:rsid w:val="001D57B5"/>
    <w:rsid w:val="001D5912"/>
    <w:rsid w:val="001D69D1"/>
    <w:rsid w:val="001D7887"/>
    <w:rsid w:val="001D7B5D"/>
    <w:rsid w:val="001E02BF"/>
    <w:rsid w:val="001E0327"/>
    <w:rsid w:val="001E0B37"/>
    <w:rsid w:val="001E1155"/>
    <w:rsid w:val="001E22B6"/>
    <w:rsid w:val="001E2746"/>
    <w:rsid w:val="001E28E9"/>
    <w:rsid w:val="001E2A74"/>
    <w:rsid w:val="001E34A5"/>
    <w:rsid w:val="001E36B8"/>
    <w:rsid w:val="001E3F53"/>
    <w:rsid w:val="001E4B99"/>
    <w:rsid w:val="001E57E9"/>
    <w:rsid w:val="001E6173"/>
    <w:rsid w:val="001E6404"/>
    <w:rsid w:val="001E6C70"/>
    <w:rsid w:val="001E7FE9"/>
    <w:rsid w:val="001F0657"/>
    <w:rsid w:val="001F08AF"/>
    <w:rsid w:val="001F1959"/>
    <w:rsid w:val="001F2A46"/>
    <w:rsid w:val="001F3376"/>
    <w:rsid w:val="001F33A1"/>
    <w:rsid w:val="001F3E5B"/>
    <w:rsid w:val="001F6F69"/>
    <w:rsid w:val="002017CF"/>
    <w:rsid w:val="002025D0"/>
    <w:rsid w:val="0020344F"/>
    <w:rsid w:val="00203677"/>
    <w:rsid w:val="00205DAD"/>
    <w:rsid w:val="00205E3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6B41"/>
    <w:rsid w:val="002327A2"/>
    <w:rsid w:val="00232F8E"/>
    <w:rsid w:val="00235CF7"/>
    <w:rsid w:val="002360EC"/>
    <w:rsid w:val="0023663F"/>
    <w:rsid w:val="002413CA"/>
    <w:rsid w:val="00241A91"/>
    <w:rsid w:val="00242273"/>
    <w:rsid w:val="0024275A"/>
    <w:rsid w:val="00242B17"/>
    <w:rsid w:val="00244004"/>
    <w:rsid w:val="0024402E"/>
    <w:rsid w:val="00244AB2"/>
    <w:rsid w:val="0024512C"/>
    <w:rsid w:val="00245527"/>
    <w:rsid w:val="00246F8E"/>
    <w:rsid w:val="00247B61"/>
    <w:rsid w:val="00250BA2"/>
    <w:rsid w:val="00251AD5"/>
    <w:rsid w:val="00252142"/>
    <w:rsid w:val="00252769"/>
    <w:rsid w:val="00252A10"/>
    <w:rsid w:val="00254BFE"/>
    <w:rsid w:val="00255823"/>
    <w:rsid w:val="00256A53"/>
    <w:rsid w:val="002601B9"/>
    <w:rsid w:val="00260A9F"/>
    <w:rsid w:val="00260C57"/>
    <w:rsid w:val="00261022"/>
    <w:rsid w:val="00262133"/>
    <w:rsid w:val="00262DBB"/>
    <w:rsid w:val="00262F29"/>
    <w:rsid w:val="00263D5C"/>
    <w:rsid w:val="00263FC4"/>
    <w:rsid w:val="002642F9"/>
    <w:rsid w:val="0026487A"/>
    <w:rsid w:val="00264B38"/>
    <w:rsid w:val="00264C02"/>
    <w:rsid w:val="00264F58"/>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2461"/>
    <w:rsid w:val="002871F3"/>
    <w:rsid w:val="002908AA"/>
    <w:rsid w:val="002909B6"/>
    <w:rsid w:val="002914A7"/>
    <w:rsid w:val="00293315"/>
    <w:rsid w:val="002946C5"/>
    <w:rsid w:val="00294B70"/>
    <w:rsid w:val="0029513A"/>
    <w:rsid w:val="00295858"/>
    <w:rsid w:val="00296398"/>
    <w:rsid w:val="00296F1F"/>
    <w:rsid w:val="002A00C3"/>
    <w:rsid w:val="002A1224"/>
    <w:rsid w:val="002A1AEC"/>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3A16"/>
    <w:rsid w:val="002B4B19"/>
    <w:rsid w:val="002C0149"/>
    <w:rsid w:val="002C0832"/>
    <w:rsid w:val="002C1269"/>
    <w:rsid w:val="002C265D"/>
    <w:rsid w:val="002C36E5"/>
    <w:rsid w:val="002C4112"/>
    <w:rsid w:val="002C427B"/>
    <w:rsid w:val="002C652E"/>
    <w:rsid w:val="002C69C9"/>
    <w:rsid w:val="002D039B"/>
    <w:rsid w:val="002D09A8"/>
    <w:rsid w:val="002D1970"/>
    <w:rsid w:val="002D44D3"/>
    <w:rsid w:val="002D499C"/>
    <w:rsid w:val="002D5361"/>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1779"/>
    <w:rsid w:val="0030411A"/>
    <w:rsid w:val="00305C14"/>
    <w:rsid w:val="003077FC"/>
    <w:rsid w:val="003107A7"/>
    <w:rsid w:val="00310975"/>
    <w:rsid w:val="00311F54"/>
    <w:rsid w:val="003126CB"/>
    <w:rsid w:val="00312C61"/>
    <w:rsid w:val="00312E2D"/>
    <w:rsid w:val="003143E2"/>
    <w:rsid w:val="003146A9"/>
    <w:rsid w:val="00314A98"/>
    <w:rsid w:val="00315732"/>
    <w:rsid w:val="00316C9A"/>
    <w:rsid w:val="00317CA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4CB7"/>
    <w:rsid w:val="00345413"/>
    <w:rsid w:val="003525D6"/>
    <w:rsid w:val="00352A60"/>
    <w:rsid w:val="00352D7B"/>
    <w:rsid w:val="003533A3"/>
    <w:rsid w:val="00353A88"/>
    <w:rsid w:val="003541AF"/>
    <w:rsid w:val="0035444D"/>
    <w:rsid w:val="00354454"/>
    <w:rsid w:val="00354CBD"/>
    <w:rsid w:val="00356625"/>
    <w:rsid w:val="0035675D"/>
    <w:rsid w:val="003600A8"/>
    <w:rsid w:val="003626B1"/>
    <w:rsid w:val="003677E7"/>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2D1"/>
    <w:rsid w:val="0038102F"/>
    <w:rsid w:val="0038105E"/>
    <w:rsid w:val="00381F9E"/>
    <w:rsid w:val="00382EDF"/>
    <w:rsid w:val="003835AA"/>
    <w:rsid w:val="0038468A"/>
    <w:rsid w:val="003856E8"/>
    <w:rsid w:val="003860E3"/>
    <w:rsid w:val="00386B3D"/>
    <w:rsid w:val="00386C0E"/>
    <w:rsid w:val="00387E52"/>
    <w:rsid w:val="00390644"/>
    <w:rsid w:val="0039107D"/>
    <w:rsid w:val="00392B81"/>
    <w:rsid w:val="00394360"/>
    <w:rsid w:val="0039528D"/>
    <w:rsid w:val="00396605"/>
    <w:rsid w:val="003977E0"/>
    <w:rsid w:val="003A0918"/>
    <w:rsid w:val="003A1305"/>
    <w:rsid w:val="003A1D5D"/>
    <w:rsid w:val="003A23C4"/>
    <w:rsid w:val="003A3108"/>
    <w:rsid w:val="003A35D1"/>
    <w:rsid w:val="003A46B9"/>
    <w:rsid w:val="003A4F67"/>
    <w:rsid w:val="003A5CDA"/>
    <w:rsid w:val="003A6D30"/>
    <w:rsid w:val="003A7BFA"/>
    <w:rsid w:val="003B110C"/>
    <w:rsid w:val="003B2120"/>
    <w:rsid w:val="003B2A01"/>
    <w:rsid w:val="003B2F92"/>
    <w:rsid w:val="003B3933"/>
    <w:rsid w:val="003B47D3"/>
    <w:rsid w:val="003B4BB8"/>
    <w:rsid w:val="003B4F65"/>
    <w:rsid w:val="003B509C"/>
    <w:rsid w:val="003B50A5"/>
    <w:rsid w:val="003B5271"/>
    <w:rsid w:val="003B67F8"/>
    <w:rsid w:val="003B6D7B"/>
    <w:rsid w:val="003B7A94"/>
    <w:rsid w:val="003C06F1"/>
    <w:rsid w:val="003C0CE6"/>
    <w:rsid w:val="003C12E8"/>
    <w:rsid w:val="003C1FED"/>
    <w:rsid w:val="003C2604"/>
    <w:rsid w:val="003C3102"/>
    <w:rsid w:val="003C4E9D"/>
    <w:rsid w:val="003C543D"/>
    <w:rsid w:val="003C5D23"/>
    <w:rsid w:val="003C66B4"/>
    <w:rsid w:val="003C7720"/>
    <w:rsid w:val="003C7889"/>
    <w:rsid w:val="003C78C8"/>
    <w:rsid w:val="003C7D5B"/>
    <w:rsid w:val="003D0607"/>
    <w:rsid w:val="003D0B8D"/>
    <w:rsid w:val="003D3FCD"/>
    <w:rsid w:val="003D4ED5"/>
    <w:rsid w:val="003D55BA"/>
    <w:rsid w:val="003D6248"/>
    <w:rsid w:val="003E002C"/>
    <w:rsid w:val="003E0736"/>
    <w:rsid w:val="003E0B49"/>
    <w:rsid w:val="003E0F62"/>
    <w:rsid w:val="003E12C1"/>
    <w:rsid w:val="003E1A37"/>
    <w:rsid w:val="003E2BD2"/>
    <w:rsid w:val="003E3F4D"/>
    <w:rsid w:val="003E4EAF"/>
    <w:rsid w:val="003E5E84"/>
    <w:rsid w:val="003E6164"/>
    <w:rsid w:val="003E6389"/>
    <w:rsid w:val="003E63D8"/>
    <w:rsid w:val="003E7D51"/>
    <w:rsid w:val="003F1256"/>
    <w:rsid w:val="003F1D71"/>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42C5"/>
    <w:rsid w:val="004242D0"/>
    <w:rsid w:val="004265B6"/>
    <w:rsid w:val="004267E4"/>
    <w:rsid w:val="00426A92"/>
    <w:rsid w:val="00426DF6"/>
    <w:rsid w:val="004272DB"/>
    <w:rsid w:val="00427466"/>
    <w:rsid w:val="004277EE"/>
    <w:rsid w:val="00430222"/>
    <w:rsid w:val="004303A9"/>
    <w:rsid w:val="00431015"/>
    <w:rsid w:val="0043186B"/>
    <w:rsid w:val="00431D51"/>
    <w:rsid w:val="00432AFB"/>
    <w:rsid w:val="0043354F"/>
    <w:rsid w:val="0043387C"/>
    <w:rsid w:val="0043609D"/>
    <w:rsid w:val="00436969"/>
    <w:rsid w:val="00437BBE"/>
    <w:rsid w:val="00437C38"/>
    <w:rsid w:val="00441894"/>
    <w:rsid w:val="00441AEC"/>
    <w:rsid w:val="0044203F"/>
    <w:rsid w:val="0044393D"/>
    <w:rsid w:val="004439E0"/>
    <w:rsid w:val="00443A2D"/>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1E95"/>
    <w:rsid w:val="004736D0"/>
    <w:rsid w:val="00473B5A"/>
    <w:rsid w:val="004746BE"/>
    <w:rsid w:val="00475D53"/>
    <w:rsid w:val="0047613B"/>
    <w:rsid w:val="0048140A"/>
    <w:rsid w:val="00482FB2"/>
    <w:rsid w:val="004831C9"/>
    <w:rsid w:val="004832B0"/>
    <w:rsid w:val="00483405"/>
    <w:rsid w:val="0048357E"/>
    <w:rsid w:val="0048380F"/>
    <w:rsid w:val="00486058"/>
    <w:rsid w:val="00486900"/>
    <w:rsid w:val="0049003B"/>
    <w:rsid w:val="004903C0"/>
    <w:rsid w:val="00490717"/>
    <w:rsid w:val="00490A26"/>
    <w:rsid w:val="00491D27"/>
    <w:rsid w:val="004927C6"/>
    <w:rsid w:val="0049427C"/>
    <w:rsid w:val="00494BF3"/>
    <w:rsid w:val="0049726A"/>
    <w:rsid w:val="00497BB6"/>
    <w:rsid w:val="00497FF7"/>
    <w:rsid w:val="004A046F"/>
    <w:rsid w:val="004A3FD4"/>
    <w:rsid w:val="004A46F5"/>
    <w:rsid w:val="004A474F"/>
    <w:rsid w:val="004A6710"/>
    <w:rsid w:val="004A785D"/>
    <w:rsid w:val="004A7A0D"/>
    <w:rsid w:val="004B16B8"/>
    <w:rsid w:val="004B178F"/>
    <w:rsid w:val="004B219C"/>
    <w:rsid w:val="004B21DF"/>
    <w:rsid w:val="004B27D8"/>
    <w:rsid w:val="004B3F79"/>
    <w:rsid w:val="004B4A07"/>
    <w:rsid w:val="004B6E67"/>
    <w:rsid w:val="004C0508"/>
    <w:rsid w:val="004C06A9"/>
    <w:rsid w:val="004C07E3"/>
    <w:rsid w:val="004C2225"/>
    <w:rsid w:val="004C2610"/>
    <w:rsid w:val="004C3C11"/>
    <w:rsid w:val="004C4ACF"/>
    <w:rsid w:val="004C4E49"/>
    <w:rsid w:val="004C518C"/>
    <w:rsid w:val="004C65A3"/>
    <w:rsid w:val="004C675F"/>
    <w:rsid w:val="004C74E5"/>
    <w:rsid w:val="004D1CF2"/>
    <w:rsid w:val="004D2860"/>
    <w:rsid w:val="004D3103"/>
    <w:rsid w:val="004D3264"/>
    <w:rsid w:val="004D3481"/>
    <w:rsid w:val="004D4911"/>
    <w:rsid w:val="004D49DC"/>
    <w:rsid w:val="004D52CF"/>
    <w:rsid w:val="004D54C7"/>
    <w:rsid w:val="004D5F4A"/>
    <w:rsid w:val="004D6591"/>
    <w:rsid w:val="004D7FC9"/>
    <w:rsid w:val="004E12DD"/>
    <w:rsid w:val="004E1C4C"/>
    <w:rsid w:val="004E238B"/>
    <w:rsid w:val="004E241D"/>
    <w:rsid w:val="004E3571"/>
    <w:rsid w:val="004E39CF"/>
    <w:rsid w:val="004E47DE"/>
    <w:rsid w:val="004E4F4C"/>
    <w:rsid w:val="004E53E3"/>
    <w:rsid w:val="004E5A95"/>
    <w:rsid w:val="004E6B8D"/>
    <w:rsid w:val="004E6F92"/>
    <w:rsid w:val="004E7AC4"/>
    <w:rsid w:val="004E7C4A"/>
    <w:rsid w:val="004F1092"/>
    <w:rsid w:val="004F3F04"/>
    <w:rsid w:val="004F4796"/>
    <w:rsid w:val="004F4842"/>
    <w:rsid w:val="004F4BFF"/>
    <w:rsid w:val="004F5638"/>
    <w:rsid w:val="004F5AB1"/>
    <w:rsid w:val="004F6224"/>
    <w:rsid w:val="004F6ECF"/>
    <w:rsid w:val="004F6F81"/>
    <w:rsid w:val="004F7E97"/>
    <w:rsid w:val="00500E2C"/>
    <w:rsid w:val="0050153C"/>
    <w:rsid w:val="00501891"/>
    <w:rsid w:val="00503145"/>
    <w:rsid w:val="00503329"/>
    <w:rsid w:val="0050424B"/>
    <w:rsid w:val="00504D5B"/>
    <w:rsid w:val="005054EF"/>
    <w:rsid w:val="0050713A"/>
    <w:rsid w:val="00507251"/>
    <w:rsid w:val="00510990"/>
    <w:rsid w:val="005136AB"/>
    <w:rsid w:val="00513E41"/>
    <w:rsid w:val="00517852"/>
    <w:rsid w:val="005179EA"/>
    <w:rsid w:val="00521351"/>
    <w:rsid w:val="00521C19"/>
    <w:rsid w:val="005226BA"/>
    <w:rsid w:val="00523149"/>
    <w:rsid w:val="005238D5"/>
    <w:rsid w:val="00523FA8"/>
    <w:rsid w:val="005248E5"/>
    <w:rsid w:val="0052559B"/>
    <w:rsid w:val="005257BD"/>
    <w:rsid w:val="00532212"/>
    <w:rsid w:val="005325AD"/>
    <w:rsid w:val="005331E2"/>
    <w:rsid w:val="00534D59"/>
    <w:rsid w:val="00535C4D"/>
    <w:rsid w:val="00537584"/>
    <w:rsid w:val="005401C3"/>
    <w:rsid w:val="0054024E"/>
    <w:rsid w:val="00540EBB"/>
    <w:rsid w:val="00541725"/>
    <w:rsid w:val="00542857"/>
    <w:rsid w:val="0054291F"/>
    <w:rsid w:val="00542C87"/>
    <w:rsid w:val="00543928"/>
    <w:rsid w:val="00546AC8"/>
    <w:rsid w:val="0055556C"/>
    <w:rsid w:val="0055566B"/>
    <w:rsid w:val="00556F47"/>
    <w:rsid w:val="005571A6"/>
    <w:rsid w:val="00561958"/>
    <w:rsid w:val="0056229F"/>
    <w:rsid w:val="00563915"/>
    <w:rsid w:val="0056419A"/>
    <w:rsid w:val="00564D0A"/>
    <w:rsid w:val="00564F42"/>
    <w:rsid w:val="005654EE"/>
    <w:rsid w:val="00566308"/>
    <w:rsid w:val="005663A0"/>
    <w:rsid w:val="00566454"/>
    <w:rsid w:val="0056698F"/>
    <w:rsid w:val="00570D5B"/>
    <w:rsid w:val="00571727"/>
    <w:rsid w:val="005718BF"/>
    <w:rsid w:val="0057237B"/>
    <w:rsid w:val="00572ACA"/>
    <w:rsid w:val="005746B9"/>
    <w:rsid w:val="00574AF2"/>
    <w:rsid w:val="00575BDB"/>
    <w:rsid w:val="005764CE"/>
    <w:rsid w:val="00576AAB"/>
    <w:rsid w:val="0058049B"/>
    <w:rsid w:val="005816DF"/>
    <w:rsid w:val="00581E8E"/>
    <w:rsid w:val="0058242A"/>
    <w:rsid w:val="00583B59"/>
    <w:rsid w:val="0058409A"/>
    <w:rsid w:val="0058443D"/>
    <w:rsid w:val="0058469D"/>
    <w:rsid w:val="00585363"/>
    <w:rsid w:val="005854C0"/>
    <w:rsid w:val="0058631D"/>
    <w:rsid w:val="00591C2E"/>
    <w:rsid w:val="00591D85"/>
    <w:rsid w:val="005939BF"/>
    <w:rsid w:val="0059489A"/>
    <w:rsid w:val="00594A70"/>
    <w:rsid w:val="00595F5F"/>
    <w:rsid w:val="005966DF"/>
    <w:rsid w:val="005977FC"/>
    <w:rsid w:val="00597ABD"/>
    <w:rsid w:val="00597E8D"/>
    <w:rsid w:val="00597EF3"/>
    <w:rsid w:val="005A03CA"/>
    <w:rsid w:val="005A0C2A"/>
    <w:rsid w:val="005A2368"/>
    <w:rsid w:val="005A2441"/>
    <w:rsid w:val="005A350A"/>
    <w:rsid w:val="005A35E7"/>
    <w:rsid w:val="005A42B3"/>
    <w:rsid w:val="005A4860"/>
    <w:rsid w:val="005A566F"/>
    <w:rsid w:val="005B0C02"/>
    <w:rsid w:val="005B3AB0"/>
    <w:rsid w:val="005B3DA0"/>
    <w:rsid w:val="005B3F84"/>
    <w:rsid w:val="005B465A"/>
    <w:rsid w:val="005B4A80"/>
    <w:rsid w:val="005B4AB0"/>
    <w:rsid w:val="005B50C6"/>
    <w:rsid w:val="005B5337"/>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645B"/>
    <w:rsid w:val="005F7BE5"/>
    <w:rsid w:val="006021E3"/>
    <w:rsid w:val="00602E67"/>
    <w:rsid w:val="006032DA"/>
    <w:rsid w:val="006034C0"/>
    <w:rsid w:val="00603AE6"/>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EDB"/>
    <w:rsid w:val="00623F09"/>
    <w:rsid w:val="006245EF"/>
    <w:rsid w:val="0062546A"/>
    <w:rsid w:val="006257E4"/>
    <w:rsid w:val="00626565"/>
    <w:rsid w:val="00627228"/>
    <w:rsid w:val="006273C7"/>
    <w:rsid w:val="0063006D"/>
    <w:rsid w:val="00630AA6"/>
    <w:rsid w:val="0063198D"/>
    <w:rsid w:val="00632088"/>
    <w:rsid w:val="00632BC2"/>
    <w:rsid w:val="00632D27"/>
    <w:rsid w:val="0063497A"/>
    <w:rsid w:val="00634E04"/>
    <w:rsid w:val="0063759F"/>
    <w:rsid w:val="006377A9"/>
    <w:rsid w:val="0064184B"/>
    <w:rsid w:val="006418F1"/>
    <w:rsid w:val="006437FF"/>
    <w:rsid w:val="00643CDE"/>
    <w:rsid w:val="00644F94"/>
    <w:rsid w:val="00644FE8"/>
    <w:rsid w:val="006474AB"/>
    <w:rsid w:val="006478A6"/>
    <w:rsid w:val="00647DAE"/>
    <w:rsid w:val="00650819"/>
    <w:rsid w:val="00650DF4"/>
    <w:rsid w:val="00651CC4"/>
    <w:rsid w:val="006527DF"/>
    <w:rsid w:val="006539E1"/>
    <w:rsid w:val="00653F9B"/>
    <w:rsid w:val="006562B1"/>
    <w:rsid w:val="006564C4"/>
    <w:rsid w:val="00657E3E"/>
    <w:rsid w:val="00657F6B"/>
    <w:rsid w:val="00660132"/>
    <w:rsid w:val="00660B22"/>
    <w:rsid w:val="00664198"/>
    <w:rsid w:val="006651F4"/>
    <w:rsid w:val="00665DAD"/>
    <w:rsid w:val="0066728B"/>
    <w:rsid w:val="006672B8"/>
    <w:rsid w:val="00670BF3"/>
    <w:rsid w:val="0067197F"/>
    <w:rsid w:val="0067358E"/>
    <w:rsid w:val="00673B03"/>
    <w:rsid w:val="006741A8"/>
    <w:rsid w:val="00674DE3"/>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483"/>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3AD8"/>
    <w:rsid w:val="006A44DF"/>
    <w:rsid w:val="006A4762"/>
    <w:rsid w:val="006A554A"/>
    <w:rsid w:val="006A5C6A"/>
    <w:rsid w:val="006A5C82"/>
    <w:rsid w:val="006A7AAB"/>
    <w:rsid w:val="006B0BB0"/>
    <w:rsid w:val="006B118F"/>
    <w:rsid w:val="006B1E9A"/>
    <w:rsid w:val="006B2583"/>
    <w:rsid w:val="006B28AB"/>
    <w:rsid w:val="006B29B2"/>
    <w:rsid w:val="006B33AE"/>
    <w:rsid w:val="006B4518"/>
    <w:rsid w:val="006B47E9"/>
    <w:rsid w:val="006B4D16"/>
    <w:rsid w:val="006B4E87"/>
    <w:rsid w:val="006B69CF"/>
    <w:rsid w:val="006B6AD0"/>
    <w:rsid w:val="006B7887"/>
    <w:rsid w:val="006C0B00"/>
    <w:rsid w:val="006C15F7"/>
    <w:rsid w:val="006C2268"/>
    <w:rsid w:val="006C4142"/>
    <w:rsid w:val="006C57BA"/>
    <w:rsid w:val="006C597B"/>
    <w:rsid w:val="006C6620"/>
    <w:rsid w:val="006C69EE"/>
    <w:rsid w:val="006C6F22"/>
    <w:rsid w:val="006C776C"/>
    <w:rsid w:val="006C79BB"/>
    <w:rsid w:val="006C7DFF"/>
    <w:rsid w:val="006D063B"/>
    <w:rsid w:val="006D0708"/>
    <w:rsid w:val="006D1655"/>
    <w:rsid w:val="006D1804"/>
    <w:rsid w:val="006D240C"/>
    <w:rsid w:val="006D425E"/>
    <w:rsid w:val="006D48A6"/>
    <w:rsid w:val="006D57D8"/>
    <w:rsid w:val="006D5C2C"/>
    <w:rsid w:val="006D6203"/>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35E4"/>
    <w:rsid w:val="006F3F38"/>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917"/>
    <w:rsid w:val="00705CAC"/>
    <w:rsid w:val="0070626C"/>
    <w:rsid w:val="00706C09"/>
    <w:rsid w:val="00706CA5"/>
    <w:rsid w:val="00706F1E"/>
    <w:rsid w:val="0070760B"/>
    <w:rsid w:val="007104F7"/>
    <w:rsid w:val="0071101C"/>
    <w:rsid w:val="0071184A"/>
    <w:rsid w:val="00712E6D"/>
    <w:rsid w:val="007134AA"/>
    <w:rsid w:val="00713C9F"/>
    <w:rsid w:val="007155E9"/>
    <w:rsid w:val="007158C3"/>
    <w:rsid w:val="007159BA"/>
    <w:rsid w:val="0071674B"/>
    <w:rsid w:val="00720B5D"/>
    <w:rsid w:val="0072143A"/>
    <w:rsid w:val="00721CE0"/>
    <w:rsid w:val="00722C1F"/>
    <w:rsid w:val="007235E2"/>
    <w:rsid w:val="0072360D"/>
    <w:rsid w:val="00725ABE"/>
    <w:rsid w:val="00726174"/>
    <w:rsid w:val="00727ADF"/>
    <w:rsid w:val="007303A5"/>
    <w:rsid w:val="00730938"/>
    <w:rsid w:val="0073176C"/>
    <w:rsid w:val="007317B6"/>
    <w:rsid w:val="00731E59"/>
    <w:rsid w:val="00733C81"/>
    <w:rsid w:val="00734346"/>
    <w:rsid w:val="007344CE"/>
    <w:rsid w:val="007344D8"/>
    <w:rsid w:val="0073634C"/>
    <w:rsid w:val="00736527"/>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33E"/>
    <w:rsid w:val="00752C85"/>
    <w:rsid w:val="00753497"/>
    <w:rsid w:val="00753872"/>
    <w:rsid w:val="007549DF"/>
    <w:rsid w:val="007567AD"/>
    <w:rsid w:val="00756BAA"/>
    <w:rsid w:val="00756CBB"/>
    <w:rsid w:val="007570DD"/>
    <w:rsid w:val="0075756E"/>
    <w:rsid w:val="00757576"/>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654A"/>
    <w:rsid w:val="007771C5"/>
    <w:rsid w:val="00780173"/>
    <w:rsid w:val="007810A2"/>
    <w:rsid w:val="007839B3"/>
    <w:rsid w:val="00785B81"/>
    <w:rsid w:val="007870FB"/>
    <w:rsid w:val="00787C7B"/>
    <w:rsid w:val="00787E86"/>
    <w:rsid w:val="007922BE"/>
    <w:rsid w:val="007927AE"/>
    <w:rsid w:val="00792D80"/>
    <w:rsid w:val="00794459"/>
    <w:rsid w:val="00794E1B"/>
    <w:rsid w:val="00796145"/>
    <w:rsid w:val="007963CB"/>
    <w:rsid w:val="007963FC"/>
    <w:rsid w:val="0079643E"/>
    <w:rsid w:val="00796EC6"/>
    <w:rsid w:val="00796F78"/>
    <w:rsid w:val="007975EB"/>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E4A"/>
    <w:rsid w:val="007E1D42"/>
    <w:rsid w:val="007E43B7"/>
    <w:rsid w:val="007E663A"/>
    <w:rsid w:val="007E69EF"/>
    <w:rsid w:val="007F1CEE"/>
    <w:rsid w:val="007F2311"/>
    <w:rsid w:val="007F2680"/>
    <w:rsid w:val="007F295E"/>
    <w:rsid w:val="007F3054"/>
    <w:rsid w:val="007F34B1"/>
    <w:rsid w:val="007F4E5E"/>
    <w:rsid w:val="007F4F96"/>
    <w:rsid w:val="007F5E8F"/>
    <w:rsid w:val="007F6A11"/>
    <w:rsid w:val="007F6B43"/>
    <w:rsid w:val="007F6EE4"/>
    <w:rsid w:val="007F750E"/>
    <w:rsid w:val="007F7A53"/>
    <w:rsid w:val="007F7B9D"/>
    <w:rsid w:val="008009D8"/>
    <w:rsid w:val="00802C56"/>
    <w:rsid w:val="00803C07"/>
    <w:rsid w:val="00805136"/>
    <w:rsid w:val="00805172"/>
    <w:rsid w:val="00805546"/>
    <w:rsid w:val="00806BE4"/>
    <w:rsid w:val="00806F99"/>
    <w:rsid w:val="00807724"/>
    <w:rsid w:val="00810B98"/>
    <w:rsid w:val="008116B7"/>
    <w:rsid w:val="00812493"/>
    <w:rsid w:val="00812567"/>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4202"/>
    <w:rsid w:val="00825383"/>
    <w:rsid w:val="008268AB"/>
    <w:rsid w:val="00826C06"/>
    <w:rsid w:val="0082729D"/>
    <w:rsid w:val="00830ECC"/>
    <w:rsid w:val="008324D5"/>
    <w:rsid w:val="00832ACB"/>
    <w:rsid w:val="00832CDA"/>
    <w:rsid w:val="00834F4B"/>
    <w:rsid w:val="0083565E"/>
    <w:rsid w:val="00835969"/>
    <w:rsid w:val="00837507"/>
    <w:rsid w:val="00837915"/>
    <w:rsid w:val="00837AA9"/>
    <w:rsid w:val="00840838"/>
    <w:rsid w:val="008408FD"/>
    <w:rsid w:val="00840C13"/>
    <w:rsid w:val="0084242F"/>
    <w:rsid w:val="0084299A"/>
    <w:rsid w:val="00845122"/>
    <w:rsid w:val="008458F7"/>
    <w:rsid w:val="00850226"/>
    <w:rsid w:val="00850C48"/>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1F56"/>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A27C2"/>
    <w:rsid w:val="008A3CBE"/>
    <w:rsid w:val="008A5DAA"/>
    <w:rsid w:val="008A6166"/>
    <w:rsid w:val="008A6DE7"/>
    <w:rsid w:val="008A7772"/>
    <w:rsid w:val="008A7D50"/>
    <w:rsid w:val="008B0223"/>
    <w:rsid w:val="008B0FC3"/>
    <w:rsid w:val="008B2027"/>
    <w:rsid w:val="008B22EE"/>
    <w:rsid w:val="008B2799"/>
    <w:rsid w:val="008B465D"/>
    <w:rsid w:val="008B5D3E"/>
    <w:rsid w:val="008B6062"/>
    <w:rsid w:val="008B6858"/>
    <w:rsid w:val="008B7506"/>
    <w:rsid w:val="008B7BC1"/>
    <w:rsid w:val="008B7DCA"/>
    <w:rsid w:val="008C0460"/>
    <w:rsid w:val="008C096E"/>
    <w:rsid w:val="008C09CC"/>
    <w:rsid w:val="008C0FBD"/>
    <w:rsid w:val="008C1E1E"/>
    <w:rsid w:val="008C1E4D"/>
    <w:rsid w:val="008C1F66"/>
    <w:rsid w:val="008C2429"/>
    <w:rsid w:val="008C2947"/>
    <w:rsid w:val="008C3577"/>
    <w:rsid w:val="008C44B5"/>
    <w:rsid w:val="008C53F8"/>
    <w:rsid w:val="008C5913"/>
    <w:rsid w:val="008C5A1B"/>
    <w:rsid w:val="008C62E5"/>
    <w:rsid w:val="008C7CB8"/>
    <w:rsid w:val="008D0296"/>
    <w:rsid w:val="008D06BE"/>
    <w:rsid w:val="008D1D93"/>
    <w:rsid w:val="008D2658"/>
    <w:rsid w:val="008D3DF9"/>
    <w:rsid w:val="008D4938"/>
    <w:rsid w:val="008D4EEC"/>
    <w:rsid w:val="008D54BE"/>
    <w:rsid w:val="008D565D"/>
    <w:rsid w:val="008D5BDF"/>
    <w:rsid w:val="008D5D3E"/>
    <w:rsid w:val="008D5D71"/>
    <w:rsid w:val="008D5F50"/>
    <w:rsid w:val="008D6535"/>
    <w:rsid w:val="008D6A9B"/>
    <w:rsid w:val="008D7250"/>
    <w:rsid w:val="008D7C58"/>
    <w:rsid w:val="008E0327"/>
    <w:rsid w:val="008E224F"/>
    <w:rsid w:val="008E31D7"/>
    <w:rsid w:val="008E39F5"/>
    <w:rsid w:val="008E435F"/>
    <w:rsid w:val="008E437F"/>
    <w:rsid w:val="008E47BC"/>
    <w:rsid w:val="008E5000"/>
    <w:rsid w:val="008E60F5"/>
    <w:rsid w:val="008E6F0C"/>
    <w:rsid w:val="008E79A2"/>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477B"/>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20070"/>
    <w:rsid w:val="00920D0B"/>
    <w:rsid w:val="009214E5"/>
    <w:rsid w:val="00922878"/>
    <w:rsid w:val="00924271"/>
    <w:rsid w:val="009242D9"/>
    <w:rsid w:val="0092444F"/>
    <w:rsid w:val="009248C3"/>
    <w:rsid w:val="00925EAC"/>
    <w:rsid w:val="009275F8"/>
    <w:rsid w:val="009321FE"/>
    <w:rsid w:val="00933C11"/>
    <w:rsid w:val="00934279"/>
    <w:rsid w:val="00934A49"/>
    <w:rsid w:val="00936607"/>
    <w:rsid w:val="0093783D"/>
    <w:rsid w:val="009400E3"/>
    <w:rsid w:val="00942462"/>
    <w:rsid w:val="009428A3"/>
    <w:rsid w:val="00942EDF"/>
    <w:rsid w:val="009440B4"/>
    <w:rsid w:val="0094458E"/>
    <w:rsid w:val="00944A2A"/>
    <w:rsid w:val="00946640"/>
    <w:rsid w:val="00951027"/>
    <w:rsid w:val="00951ABE"/>
    <w:rsid w:val="00954558"/>
    <w:rsid w:val="009560B9"/>
    <w:rsid w:val="00956F14"/>
    <w:rsid w:val="009572CC"/>
    <w:rsid w:val="009600F6"/>
    <w:rsid w:val="009609C9"/>
    <w:rsid w:val="00960EC7"/>
    <w:rsid w:val="00963BEA"/>
    <w:rsid w:val="00963FEB"/>
    <w:rsid w:val="0096506B"/>
    <w:rsid w:val="00965E18"/>
    <w:rsid w:val="00966694"/>
    <w:rsid w:val="00966AAB"/>
    <w:rsid w:val="00966D14"/>
    <w:rsid w:val="00967ED4"/>
    <w:rsid w:val="00970363"/>
    <w:rsid w:val="00970B2A"/>
    <w:rsid w:val="009714B3"/>
    <w:rsid w:val="00972CF6"/>
    <w:rsid w:val="0097307C"/>
    <w:rsid w:val="009734C5"/>
    <w:rsid w:val="00973964"/>
    <w:rsid w:val="00974C9E"/>
    <w:rsid w:val="00975DEA"/>
    <w:rsid w:val="009767FB"/>
    <w:rsid w:val="009768AC"/>
    <w:rsid w:val="009768E6"/>
    <w:rsid w:val="00976C5F"/>
    <w:rsid w:val="00976D33"/>
    <w:rsid w:val="00981E8E"/>
    <w:rsid w:val="00981F5D"/>
    <w:rsid w:val="0098268C"/>
    <w:rsid w:val="00983414"/>
    <w:rsid w:val="00983FB8"/>
    <w:rsid w:val="009843FC"/>
    <w:rsid w:val="009849E9"/>
    <w:rsid w:val="00985AA4"/>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1C1"/>
    <w:rsid w:val="009C58BC"/>
    <w:rsid w:val="009C72A8"/>
    <w:rsid w:val="009D0564"/>
    <w:rsid w:val="009D11E5"/>
    <w:rsid w:val="009D1BC4"/>
    <w:rsid w:val="009D3358"/>
    <w:rsid w:val="009D40EE"/>
    <w:rsid w:val="009D4476"/>
    <w:rsid w:val="009D4BD0"/>
    <w:rsid w:val="009D5224"/>
    <w:rsid w:val="009D7D6D"/>
    <w:rsid w:val="009E252D"/>
    <w:rsid w:val="009E2728"/>
    <w:rsid w:val="009E2B08"/>
    <w:rsid w:val="009E4C9B"/>
    <w:rsid w:val="009E60B8"/>
    <w:rsid w:val="009E79F0"/>
    <w:rsid w:val="009F04AD"/>
    <w:rsid w:val="009F1969"/>
    <w:rsid w:val="009F287A"/>
    <w:rsid w:val="009F410D"/>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47D9"/>
    <w:rsid w:val="00A055B8"/>
    <w:rsid w:val="00A056E3"/>
    <w:rsid w:val="00A06684"/>
    <w:rsid w:val="00A06A26"/>
    <w:rsid w:val="00A06CAC"/>
    <w:rsid w:val="00A06F41"/>
    <w:rsid w:val="00A06F46"/>
    <w:rsid w:val="00A16258"/>
    <w:rsid w:val="00A201C8"/>
    <w:rsid w:val="00A205FF"/>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23EB"/>
    <w:rsid w:val="00A53628"/>
    <w:rsid w:val="00A5363C"/>
    <w:rsid w:val="00A53974"/>
    <w:rsid w:val="00A54AF7"/>
    <w:rsid w:val="00A563F6"/>
    <w:rsid w:val="00A567D8"/>
    <w:rsid w:val="00A575D3"/>
    <w:rsid w:val="00A57C5C"/>
    <w:rsid w:val="00A62FED"/>
    <w:rsid w:val="00A63795"/>
    <w:rsid w:val="00A637DD"/>
    <w:rsid w:val="00A658F5"/>
    <w:rsid w:val="00A66746"/>
    <w:rsid w:val="00A66BBD"/>
    <w:rsid w:val="00A67260"/>
    <w:rsid w:val="00A67E5B"/>
    <w:rsid w:val="00A701B1"/>
    <w:rsid w:val="00A70572"/>
    <w:rsid w:val="00A70C54"/>
    <w:rsid w:val="00A714FD"/>
    <w:rsid w:val="00A72304"/>
    <w:rsid w:val="00A7291B"/>
    <w:rsid w:val="00A74806"/>
    <w:rsid w:val="00A75132"/>
    <w:rsid w:val="00A7582B"/>
    <w:rsid w:val="00A770F5"/>
    <w:rsid w:val="00A778E1"/>
    <w:rsid w:val="00A80BAE"/>
    <w:rsid w:val="00A81907"/>
    <w:rsid w:val="00A82014"/>
    <w:rsid w:val="00A83004"/>
    <w:rsid w:val="00A8419E"/>
    <w:rsid w:val="00A85D83"/>
    <w:rsid w:val="00A8601C"/>
    <w:rsid w:val="00A86616"/>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7624"/>
    <w:rsid w:val="00AB19F8"/>
    <w:rsid w:val="00AB2298"/>
    <w:rsid w:val="00AB2841"/>
    <w:rsid w:val="00AB2ECE"/>
    <w:rsid w:val="00AB2EE2"/>
    <w:rsid w:val="00AB3FC4"/>
    <w:rsid w:val="00AB4626"/>
    <w:rsid w:val="00AC1CCA"/>
    <w:rsid w:val="00AC23B9"/>
    <w:rsid w:val="00AC25B4"/>
    <w:rsid w:val="00AC3B53"/>
    <w:rsid w:val="00AC49AD"/>
    <w:rsid w:val="00AC5342"/>
    <w:rsid w:val="00AC55E3"/>
    <w:rsid w:val="00AC659A"/>
    <w:rsid w:val="00AC659D"/>
    <w:rsid w:val="00AD0287"/>
    <w:rsid w:val="00AD14B2"/>
    <w:rsid w:val="00AD3796"/>
    <w:rsid w:val="00AD3C4D"/>
    <w:rsid w:val="00AD4004"/>
    <w:rsid w:val="00AD4207"/>
    <w:rsid w:val="00AD52AA"/>
    <w:rsid w:val="00AD5901"/>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E7C2B"/>
    <w:rsid w:val="00AF060B"/>
    <w:rsid w:val="00AF190F"/>
    <w:rsid w:val="00AF2210"/>
    <w:rsid w:val="00AF330A"/>
    <w:rsid w:val="00AF3ADE"/>
    <w:rsid w:val="00AF3F9D"/>
    <w:rsid w:val="00AF498F"/>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3E63"/>
    <w:rsid w:val="00B15735"/>
    <w:rsid w:val="00B16BF6"/>
    <w:rsid w:val="00B170B3"/>
    <w:rsid w:val="00B1731A"/>
    <w:rsid w:val="00B17BCA"/>
    <w:rsid w:val="00B22613"/>
    <w:rsid w:val="00B23EE6"/>
    <w:rsid w:val="00B248ED"/>
    <w:rsid w:val="00B2490F"/>
    <w:rsid w:val="00B2560F"/>
    <w:rsid w:val="00B256B5"/>
    <w:rsid w:val="00B26358"/>
    <w:rsid w:val="00B26A39"/>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42C9"/>
    <w:rsid w:val="00B4502C"/>
    <w:rsid w:val="00B4639C"/>
    <w:rsid w:val="00B46609"/>
    <w:rsid w:val="00B46C58"/>
    <w:rsid w:val="00B473A7"/>
    <w:rsid w:val="00B4759A"/>
    <w:rsid w:val="00B503CE"/>
    <w:rsid w:val="00B52CF1"/>
    <w:rsid w:val="00B52DA9"/>
    <w:rsid w:val="00B53469"/>
    <w:rsid w:val="00B53862"/>
    <w:rsid w:val="00B53CAE"/>
    <w:rsid w:val="00B558DB"/>
    <w:rsid w:val="00B55D21"/>
    <w:rsid w:val="00B56E00"/>
    <w:rsid w:val="00B57122"/>
    <w:rsid w:val="00B576D9"/>
    <w:rsid w:val="00B57F2B"/>
    <w:rsid w:val="00B60BAD"/>
    <w:rsid w:val="00B60CE1"/>
    <w:rsid w:val="00B61906"/>
    <w:rsid w:val="00B619E4"/>
    <w:rsid w:val="00B62DA0"/>
    <w:rsid w:val="00B6393F"/>
    <w:rsid w:val="00B63C86"/>
    <w:rsid w:val="00B64272"/>
    <w:rsid w:val="00B64531"/>
    <w:rsid w:val="00B645B5"/>
    <w:rsid w:val="00B64BF5"/>
    <w:rsid w:val="00B65ABB"/>
    <w:rsid w:val="00B6604B"/>
    <w:rsid w:val="00B66094"/>
    <w:rsid w:val="00B6621C"/>
    <w:rsid w:val="00B72812"/>
    <w:rsid w:val="00B72BDD"/>
    <w:rsid w:val="00B72F37"/>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9162E"/>
    <w:rsid w:val="00B918C6"/>
    <w:rsid w:val="00B91B2F"/>
    <w:rsid w:val="00B930CD"/>
    <w:rsid w:val="00B932A7"/>
    <w:rsid w:val="00B935AF"/>
    <w:rsid w:val="00B93D73"/>
    <w:rsid w:val="00B94433"/>
    <w:rsid w:val="00B95BAE"/>
    <w:rsid w:val="00BA04B2"/>
    <w:rsid w:val="00BA07C7"/>
    <w:rsid w:val="00BA0A54"/>
    <w:rsid w:val="00BA0BBE"/>
    <w:rsid w:val="00BA19C7"/>
    <w:rsid w:val="00BA3D94"/>
    <w:rsid w:val="00BA3F8D"/>
    <w:rsid w:val="00BA4474"/>
    <w:rsid w:val="00BB3138"/>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E7495"/>
    <w:rsid w:val="00BE7DE1"/>
    <w:rsid w:val="00BF03D6"/>
    <w:rsid w:val="00BF22DF"/>
    <w:rsid w:val="00BF29A3"/>
    <w:rsid w:val="00BF4256"/>
    <w:rsid w:val="00BF4E96"/>
    <w:rsid w:val="00BF503C"/>
    <w:rsid w:val="00BF6A07"/>
    <w:rsid w:val="00C00CE0"/>
    <w:rsid w:val="00C021D7"/>
    <w:rsid w:val="00C06703"/>
    <w:rsid w:val="00C07327"/>
    <w:rsid w:val="00C07CD8"/>
    <w:rsid w:val="00C1210B"/>
    <w:rsid w:val="00C12254"/>
    <w:rsid w:val="00C1252C"/>
    <w:rsid w:val="00C125EB"/>
    <w:rsid w:val="00C12769"/>
    <w:rsid w:val="00C13257"/>
    <w:rsid w:val="00C145E4"/>
    <w:rsid w:val="00C145FA"/>
    <w:rsid w:val="00C14A8B"/>
    <w:rsid w:val="00C14BF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4517"/>
    <w:rsid w:val="00C25152"/>
    <w:rsid w:val="00C255D2"/>
    <w:rsid w:val="00C2672F"/>
    <w:rsid w:val="00C26A01"/>
    <w:rsid w:val="00C31626"/>
    <w:rsid w:val="00C31A52"/>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344"/>
    <w:rsid w:val="00C604CB"/>
    <w:rsid w:val="00C63A0D"/>
    <w:rsid w:val="00C63E04"/>
    <w:rsid w:val="00C64670"/>
    <w:rsid w:val="00C65B76"/>
    <w:rsid w:val="00C65F60"/>
    <w:rsid w:val="00C668EB"/>
    <w:rsid w:val="00C674BC"/>
    <w:rsid w:val="00C70678"/>
    <w:rsid w:val="00C70FB3"/>
    <w:rsid w:val="00C71A15"/>
    <w:rsid w:val="00C71F26"/>
    <w:rsid w:val="00C73454"/>
    <w:rsid w:val="00C73511"/>
    <w:rsid w:val="00C73925"/>
    <w:rsid w:val="00C74241"/>
    <w:rsid w:val="00C74C65"/>
    <w:rsid w:val="00C76AA4"/>
    <w:rsid w:val="00C807A5"/>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4CC7"/>
    <w:rsid w:val="00C95624"/>
    <w:rsid w:val="00C959C3"/>
    <w:rsid w:val="00C95B42"/>
    <w:rsid w:val="00C96C52"/>
    <w:rsid w:val="00C9739E"/>
    <w:rsid w:val="00C979E1"/>
    <w:rsid w:val="00CA0164"/>
    <w:rsid w:val="00CA1545"/>
    <w:rsid w:val="00CA2014"/>
    <w:rsid w:val="00CA32AE"/>
    <w:rsid w:val="00CA3F12"/>
    <w:rsid w:val="00CA4BC8"/>
    <w:rsid w:val="00CA4E1A"/>
    <w:rsid w:val="00CA552D"/>
    <w:rsid w:val="00CA5A78"/>
    <w:rsid w:val="00CA5C99"/>
    <w:rsid w:val="00CA621B"/>
    <w:rsid w:val="00CA65AC"/>
    <w:rsid w:val="00CA726B"/>
    <w:rsid w:val="00CB17DD"/>
    <w:rsid w:val="00CB24E6"/>
    <w:rsid w:val="00CB30E8"/>
    <w:rsid w:val="00CB62B3"/>
    <w:rsid w:val="00CB65FF"/>
    <w:rsid w:val="00CB77EA"/>
    <w:rsid w:val="00CC1A91"/>
    <w:rsid w:val="00CC1C9A"/>
    <w:rsid w:val="00CC1D22"/>
    <w:rsid w:val="00CC1FCC"/>
    <w:rsid w:val="00CC3B54"/>
    <w:rsid w:val="00CC410F"/>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2559"/>
    <w:rsid w:val="00CF2A64"/>
    <w:rsid w:val="00CF2AB6"/>
    <w:rsid w:val="00CF2B23"/>
    <w:rsid w:val="00CF30C0"/>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3E1F"/>
    <w:rsid w:val="00D2523C"/>
    <w:rsid w:val="00D25CDB"/>
    <w:rsid w:val="00D260D1"/>
    <w:rsid w:val="00D27326"/>
    <w:rsid w:val="00D27597"/>
    <w:rsid w:val="00D27822"/>
    <w:rsid w:val="00D301D8"/>
    <w:rsid w:val="00D31188"/>
    <w:rsid w:val="00D32F25"/>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4625"/>
    <w:rsid w:val="00D54A81"/>
    <w:rsid w:val="00D54B34"/>
    <w:rsid w:val="00D554C1"/>
    <w:rsid w:val="00D5569A"/>
    <w:rsid w:val="00D55EED"/>
    <w:rsid w:val="00D57116"/>
    <w:rsid w:val="00D575CA"/>
    <w:rsid w:val="00D60658"/>
    <w:rsid w:val="00D60D36"/>
    <w:rsid w:val="00D61BA8"/>
    <w:rsid w:val="00D6232A"/>
    <w:rsid w:val="00D62F0C"/>
    <w:rsid w:val="00D63C1E"/>
    <w:rsid w:val="00D64AB3"/>
    <w:rsid w:val="00D65324"/>
    <w:rsid w:val="00D65CBF"/>
    <w:rsid w:val="00D66A7D"/>
    <w:rsid w:val="00D66FB8"/>
    <w:rsid w:val="00D67FCF"/>
    <w:rsid w:val="00D713C3"/>
    <w:rsid w:val="00D71E67"/>
    <w:rsid w:val="00D72569"/>
    <w:rsid w:val="00D740F6"/>
    <w:rsid w:val="00D745F5"/>
    <w:rsid w:val="00D748D2"/>
    <w:rsid w:val="00D74A47"/>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5D3D"/>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0E2B"/>
    <w:rsid w:val="00DF11BE"/>
    <w:rsid w:val="00DF1440"/>
    <w:rsid w:val="00DF15F9"/>
    <w:rsid w:val="00DF17B5"/>
    <w:rsid w:val="00DF210A"/>
    <w:rsid w:val="00DF2537"/>
    <w:rsid w:val="00DF270B"/>
    <w:rsid w:val="00DF36AC"/>
    <w:rsid w:val="00DF52FD"/>
    <w:rsid w:val="00DF61B4"/>
    <w:rsid w:val="00DF637D"/>
    <w:rsid w:val="00DF6D64"/>
    <w:rsid w:val="00DF73F4"/>
    <w:rsid w:val="00E00117"/>
    <w:rsid w:val="00E00A43"/>
    <w:rsid w:val="00E012DB"/>
    <w:rsid w:val="00E01B16"/>
    <w:rsid w:val="00E03004"/>
    <w:rsid w:val="00E03871"/>
    <w:rsid w:val="00E03DE2"/>
    <w:rsid w:val="00E041E4"/>
    <w:rsid w:val="00E04EC4"/>
    <w:rsid w:val="00E051A8"/>
    <w:rsid w:val="00E06468"/>
    <w:rsid w:val="00E1041F"/>
    <w:rsid w:val="00E10892"/>
    <w:rsid w:val="00E12857"/>
    <w:rsid w:val="00E12CC9"/>
    <w:rsid w:val="00E12D70"/>
    <w:rsid w:val="00E15529"/>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97F"/>
    <w:rsid w:val="00E33AA2"/>
    <w:rsid w:val="00E341C7"/>
    <w:rsid w:val="00E3431A"/>
    <w:rsid w:val="00E35F49"/>
    <w:rsid w:val="00E363E6"/>
    <w:rsid w:val="00E36810"/>
    <w:rsid w:val="00E37758"/>
    <w:rsid w:val="00E37CCD"/>
    <w:rsid w:val="00E37CD1"/>
    <w:rsid w:val="00E4058E"/>
    <w:rsid w:val="00E4069D"/>
    <w:rsid w:val="00E42340"/>
    <w:rsid w:val="00E429EE"/>
    <w:rsid w:val="00E433D4"/>
    <w:rsid w:val="00E4392A"/>
    <w:rsid w:val="00E44BB2"/>
    <w:rsid w:val="00E44BB9"/>
    <w:rsid w:val="00E45FEF"/>
    <w:rsid w:val="00E465E0"/>
    <w:rsid w:val="00E46B6B"/>
    <w:rsid w:val="00E5141D"/>
    <w:rsid w:val="00E52190"/>
    <w:rsid w:val="00E545F2"/>
    <w:rsid w:val="00E54AEE"/>
    <w:rsid w:val="00E55C5B"/>
    <w:rsid w:val="00E56A1B"/>
    <w:rsid w:val="00E56DA0"/>
    <w:rsid w:val="00E5724C"/>
    <w:rsid w:val="00E61CEE"/>
    <w:rsid w:val="00E63BC3"/>
    <w:rsid w:val="00E63CC3"/>
    <w:rsid w:val="00E63DE2"/>
    <w:rsid w:val="00E64473"/>
    <w:rsid w:val="00E6461C"/>
    <w:rsid w:val="00E66682"/>
    <w:rsid w:val="00E66E08"/>
    <w:rsid w:val="00E70077"/>
    <w:rsid w:val="00E71B0E"/>
    <w:rsid w:val="00E71CF3"/>
    <w:rsid w:val="00E72265"/>
    <w:rsid w:val="00E72BB5"/>
    <w:rsid w:val="00E72C93"/>
    <w:rsid w:val="00E73C65"/>
    <w:rsid w:val="00E75EEF"/>
    <w:rsid w:val="00E7746F"/>
    <w:rsid w:val="00E774B5"/>
    <w:rsid w:val="00E80FB2"/>
    <w:rsid w:val="00E812CC"/>
    <w:rsid w:val="00E8148C"/>
    <w:rsid w:val="00E8222F"/>
    <w:rsid w:val="00E82444"/>
    <w:rsid w:val="00E82650"/>
    <w:rsid w:val="00E8292C"/>
    <w:rsid w:val="00E831F3"/>
    <w:rsid w:val="00E835B4"/>
    <w:rsid w:val="00E8363C"/>
    <w:rsid w:val="00E83B24"/>
    <w:rsid w:val="00E843E4"/>
    <w:rsid w:val="00E8471F"/>
    <w:rsid w:val="00E8514D"/>
    <w:rsid w:val="00E85155"/>
    <w:rsid w:val="00E85AD4"/>
    <w:rsid w:val="00E90C2B"/>
    <w:rsid w:val="00E91BE7"/>
    <w:rsid w:val="00E91F09"/>
    <w:rsid w:val="00E92330"/>
    <w:rsid w:val="00E927FC"/>
    <w:rsid w:val="00E939BC"/>
    <w:rsid w:val="00E942FF"/>
    <w:rsid w:val="00E9445B"/>
    <w:rsid w:val="00E94E1B"/>
    <w:rsid w:val="00E95F6D"/>
    <w:rsid w:val="00E96984"/>
    <w:rsid w:val="00E96AF7"/>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098"/>
    <w:rsid w:val="00EB52D3"/>
    <w:rsid w:val="00EB57C1"/>
    <w:rsid w:val="00EB5B7F"/>
    <w:rsid w:val="00EB5E80"/>
    <w:rsid w:val="00EB66C3"/>
    <w:rsid w:val="00EB6CD4"/>
    <w:rsid w:val="00EB755B"/>
    <w:rsid w:val="00EB7561"/>
    <w:rsid w:val="00EC09AC"/>
    <w:rsid w:val="00EC1320"/>
    <w:rsid w:val="00EC14BF"/>
    <w:rsid w:val="00EC17DD"/>
    <w:rsid w:val="00EC18C3"/>
    <w:rsid w:val="00EC2076"/>
    <w:rsid w:val="00EC32B9"/>
    <w:rsid w:val="00EC5298"/>
    <w:rsid w:val="00EC68BB"/>
    <w:rsid w:val="00ED3E95"/>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28D6"/>
    <w:rsid w:val="00EF2D7E"/>
    <w:rsid w:val="00EF32D1"/>
    <w:rsid w:val="00EF36C4"/>
    <w:rsid w:val="00EF3BEE"/>
    <w:rsid w:val="00EF4501"/>
    <w:rsid w:val="00EF500B"/>
    <w:rsid w:val="00EF51A6"/>
    <w:rsid w:val="00EF5231"/>
    <w:rsid w:val="00EF5E3E"/>
    <w:rsid w:val="00EF740E"/>
    <w:rsid w:val="00F00225"/>
    <w:rsid w:val="00F009FD"/>
    <w:rsid w:val="00F010F3"/>
    <w:rsid w:val="00F03042"/>
    <w:rsid w:val="00F037F5"/>
    <w:rsid w:val="00F04DCF"/>
    <w:rsid w:val="00F04F9A"/>
    <w:rsid w:val="00F06EA2"/>
    <w:rsid w:val="00F10C10"/>
    <w:rsid w:val="00F149DA"/>
    <w:rsid w:val="00F14B50"/>
    <w:rsid w:val="00F1532C"/>
    <w:rsid w:val="00F158F4"/>
    <w:rsid w:val="00F16A94"/>
    <w:rsid w:val="00F1700F"/>
    <w:rsid w:val="00F174AB"/>
    <w:rsid w:val="00F2199B"/>
    <w:rsid w:val="00F23093"/>
    <w:rsid w:val="00F236EF"/>
    <w:rsid w:val="00F25565"/>
    <w:rsid w:val="00F25B47"/>
    <w:rsid w:val="00F27557"/>
    <w:rsid w:val="00F30444"/>
    <w:rsid w:val="00F31B92"/>
    <w:rsid w:val="00F31E9B"/>
    <w:rsid w:val="00F32749"/>
    <w:rsid w:val="00F3347D"/>
    <w:rsid w:val="00F33C8B"/>
    <w:rsid w:val="00F34039"/>
    <w:rsid w:val="00F34B8B"/>
    <w:rsid w:val="00F3506F"/>
    <w:rsid w:val="00F35FAE"/>
    <w:rsid w:val="00F361BB"/>
    <w:rsid w:val="00F37838"/>
    <w:rsid w:val="00F40076"/>
    <w:rsid w:val="00F4136D"/>
    <w:rsid w:val="00F428A4"/>
    <w:rsid w:val="00F42BEC"/>
    <w:rsid w:val="00F45983"/>
    <w:rsid w:val="00F45CFD"/>
    <w:rsid w:val="00F46904"/>
    <w:rsid w:val="00F505F9"/>
    <w:rsid w:val="00F50672"/>
    <w:rsid w:val="00F52E2B"/>
    <w:rsid w:val="00F5312D"/>
    <w:rsid w:val="00F5384B"/>
    <w:rsid w:val="00F54D4F"/>
    <w:rsid w:val="00F55627"/>
    <w:rsid w:val="00F560D2"/>
    <w:rsid w:val="00F56EB8"/>
    <w:rsid w:val="00F57AE6"/>
    <w:rsid w:val="00F6065D"/>
    <w:rsid w:val="00F618B4"/>
    <w:rsid w:val="00F62FD0"/>
    <w:rsid w:val="00F63B6A"/>
    <w:rsid w:val="00F6493F"/>
    <w:rsid w:val="00F66664"/>
    <w:rsid w:val="00F669C5"/>
    <w:rsid w:val="00F66D25"/>
    <w:rsid w:val="00F67AEA"/>
    <w:rsid w:val="00F708DA"/>
    <w:rsid w:val="00F720AE"/>
    <w:rsid w:val="00F725E6"/>
    <w:rsid w:val="00F7324D"/>
    <w:rsid w:val="00F7332C"/>
    <w:rsid w:val="00F737CB"/>
    <w:rsid w:val="00F73A60"/>
    <w:rsid w:val="00F73E22"/>
    <w:rsid w:val="00F73EDA"/>
    <w:rsid w:val="00F740DD"/>
    <w:rsid w:val="00F74F75"/>
    <w:rsid w:val="00F75453"/>
    <w:rsid w:val="00F77C33"/>
    <w:rsid w:val="00F8037C"/>
    <w:rsid w:val="00F80820"/>
    <w:rsid w:val="00F808DA"/>
    <w:rsid w:val="00F81543"/>
    <w:rsid w:val="00F82E3A"/>
    <w:rsid w:val="00F8392A"/>
    <w:rsid w:val="00F83BB4"/>
    <w:rsid w:val="00F84CAD"/>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51A2"/>
    <w:rsid w:val="00FB615F"/>
    <w:rsid w:val="00FB76E9"/>
    <w:rsid w:val="00FB7BAA"/>
    <w:rsid w:val="00FC0A6B"/>
    <w:rsid w:val="00FC12B9"/>
    <w:rsid w:val="00FC1FAB"/>
    <w:rsid w:val="00FC1FAC"/>
    <w:rsid w:val="00FC2065"/>
    <w:rsid w:val="00FC2498"/>
    <w:rsid w:val="00FC26CC"/>
    <w:rsid w:val="00FC38EB"/>
    <w:rsid w:val="00FC49B8"/>
    <w:rsid w:val="00FC4BDA"/>
    <w:rsid w:val="00FC6445"/>
    <w:rsid w:val="00FC6563"/>
    <w:rsid w:val="00FC726E"/>
    <w:rsid w:val="00FD002F"/>
    <w:rsid w:val="00FD047E"/>
    <w:rsid w:val="00FD06FE"/>
    <w:rsid w:val="00FD0D2B"/>
    <w:rsid w:val="00FD0E7E"/>
    <w:rsid w:val="00FD16E2"/>
    <w:rsid w:val="00FD1A2F"/>
    <w:rsid w:val="00FD1FFE"/>
    <w:rsid w:val="00FD23F4"/>
    <w:rsid w:val="00FD25D7"/>
    <w:rsid w:val="00FD2852"/>
    <w:rsid w:val="00FD3EF1"/>
    <w:rsid w:val="00FD4531"/>
    <w:rsid w:val="00FD5D27"/>
    <w:rsid w:val="00FD6658"/>
    <w:rsid w:val="00FD66DC"/>
    <w:rsid w:val="00FD71B5"/>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rPr>
  </w:style>
  <w:style w:type="character" w:customStyle="1" w:styleId="DokumententitelZchn">
    <w:name w:val="Dokumententitel Zchn"/>
    <w:basedOn w:val="En-tteCar"/>
    <w:link w:val="Dokumententitel"/>
    <w:rsid w:val="00C54F6A"/>
    <w:rPr>
      <w:rFonts w:ascii="Arial" w:hAnsi="Arial"/>
      <w:noProof/>
      <w:color w:val="C00418" w:themeColor="accent1"/>
      <w:sz w:val="48"/>
    </w:rPr>
  </w:style>
  <w:style w:type="character" w:styleId="Marquedecommentaire">
    <w:name w:val="annotation reference"/>
    <w:basedOn w:val="Policepardfaut"/>
    <w:uiPriority w:val="99"/>
    <w:semiHidden/>
    <w:unhideWhenUsed/>
    <w:rsid w:val="00082003"/>
    <w:rPr>
      <w:sz w:val="16"/>
      <w:szCs w:val="16"/>
    </w:rPr>
  </w:style>
  <w:style w:type="paragraph" w:styleId="Commentaire">
    <w:name w:val="annotation text"/>
    <w:basedOn w:val="Normal"/>
    <w:link w:val="CommentaireCar"/>
    <w:uiPriority w:val="99"/>
    <w:semiHidden/>
    <w:unhideWhenUsed/>
    <w:rsid w:val="00082003"/>
    <w:pPr>
      <w:spacing w:line="240" w:lineRule="auto"/>
    </w:pPr>
    <w:rPr>
      <w:szCs w:val="20"/>
    </w:rPr>
  </w:style>
  <w:style w:type="character" w:customStyle="1" w:styleId="CommentaireCar">
    <w:name w:val="Commentaire Car"/>
    <w:basedOn w:val="Policepardfaut"/>
    <w:link w:val="Commentaire"/>
    <w:uiPriority w:val="99"/>
    <w:semiHidden/>
    <w:rsid w:val="00082003"/>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082003"/>
    <w:rPr>
      <w:b/>
      <w:bCs/>
    </w:rPr>
  </w:style>
  <w:style w:type="character" w:customStyle="1" w:styleId="ObjetducommentaireCar">
    <w:name w:val="Objet du commentaire Car"/>
    <w:basedOn w:val="CommentaireCar"/>
    <w:link w:val="Objetducommentaire"/>
    <w:uiPriority w:val="99"/>
    <w:semiHidden/>
    <w:rsid w:val="00082003"/>
    <w:rPr>
      <w:rFonts w:ascii="Arial" w:hAnsi="Arial"/>
      <w:b/>
      <w:bCs/>
      <w:sz w:val="20"/>
      <w:szCs w:val="20"/>
    </w:rPr>
  </w:style>
  <w:style w:type="paragraph" w:styleId="Listepuces">
    <w:name w:val="List Bullet"/>
    <w:basedOn w:val="Normal"/>
    <w:uiPriority w:val="99"/>
    <w:unhideWhenUsed/>
    <w:rsid w:val="00BE71EE"/>
    <w:pPr>
      <w:numPr>
        <w:numId w:val="17"/>
      </w:numPr>
      <w:contextualSpacing/>
    </w:pPr>
  </w:style>
  <w:style w:type="character" w:customStyle="1" w:styleId="NichtaufgelsteErwhnung1">
    <w:name w:val="Nicht aufgelöste Erwähnung1"/>
    <w:basedOn w:val="Policepardfaut"/>
    <w:uiPriority w:val="99"/>
    <w:semiHidden/>
    <w:unhideWhenUsed/>
    <w:rsid w:val="004C4ACF"/>
    <w:rPr>
      <w:color w:val="605E5C"/>
      <w:shd w:val="clear" w:color="auto" w:fill="E1DFDD"/>
    </w:rPr>
  </w:style>
  <w:style w:type="paragraph" w:styleId="Rvision">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bbba48b-ed70-4d4f-bc70-b74f508f6d15"/>
  </ds:schemaRefs>
</ds:datastoreItem>
</file>

<file path=customXml/itemProps4.xml><?xml version="1.0" encoding="utf-8"?>
<ds:datastoreItem xmlns:ds="http://schemas.openxmlformats.org/officeDocument/2006/customXml" ds:itemID="{4A9B59E9-F58F-4346-8B5B-29784880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2317</TotalTime>
  <Pages>1</Pages>
  <Words>615</Words>
  <Characters>3388</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L'expertise TGW en matière de stockage de congélation accélère ASKO, le leader du marché de commerce alimentaire norvégien</vt:lpstr>
      <vt:lpstr>TGW-Tiefkühlkompetenz beschleunigt norwegischen Lebensmittel-Marktführer ASKO</vt:lpstr>
    </vt:vector>
  </TitlesOfParts>
  <Company>Klug</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L'expertise TGW en matière de stockage de congélation accélère ASKO, le leader du marché de commerce alimentaire norvégien</dc:title>
  <dc:subject/>
  <dc:creator>Tahedl Alexander</dc:creator>
  <cp:keywords>L'expertise TGW en matière de stockage de congélation accélère ASKO, le leader du marché de commerce alimentaire norvégien</cp:keywords>
  <dc:description/>
  <cp:lastModifiedBy>Tahedl Alexander</cp:lastModifiedBy>
  <cp:revision>450</cp:revision>
  <cp:lastPrinted>2022-02-02T15:07:00Z</cp:lastPrinted>
  <dcterms:created xsi:type="dcterms:W3CDTF">2022-12-14T09:12:00Z</dcterms:created>
  <dcterms:modified xsi:type="dcterms:W3CDTF">2023-05-16T06:26:00Z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