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Pr="00A50C50" w:rsidRDefault="0073741E" w:rsidP="00B34DB2">
      <w:pPr>
        <w:spacing w:line="360" w:lineRule="auto"/>
        <w:ind w:left="0" w:right="1693"/>
        <w:rPr>
          <w:rFonts w:cs="Arial"/>
          <w:b/>
          <w:szCs w:val="20"/>
          <w:lang w:val="fr-FR"/>
        </w:rPr>
      </w:pPr>
    </w:p>
    <w:p w:rsidR="00617115" w:rsidRPr="00A50C50" w:rsidRDefault="00617115" w:rsidP="00B34DB2">
      <w:pPr>
        <w:spacing w:line="360" w:lineRule="auto"/>
        <w:ind w:left="0" w:right="1693"/>
        <w:rPr>
          <w:rFonts w:cs="Arial"/>
          <w:b/>
          <w:szCs w:val="20"/>
          <w:lang w:val="fr-FR"/>
        </w:rPr>
      </w:pPr>
    </w:p>
    <w:p w:rsidR="0073741E" w:rsidRPr="00A50C50" w:rsidRDefault="00950845" w:rsidP="00B34DB2">
      <w:pPr>
        <w:spacing w:line="360" w:lineRule="auto"/>
        <w:ind w:left="0" w:right="1693"/>
        <w:rPr>
          <w:rFonts w:cs="Arial"/>
          <w:b/>
          <w:sz w:val="32"/>
          <w:szCs w:val="32"/>
          <w:lang w:val="fr-FR"/>
        </w:rPr>
      </w:pPr>
      <w:r w:rsidRPr="00A50C50">
        <w:rPr>
          <w:rFonts w:cs="Arial"/>
          <w:b/>
          <w:sz w:val="32"/>
          <w:szCs w:val="32"/>
          <w:lang w:val="fr-FR"/>
        </w:rPr>
        <w:t>Recette rénovation parfaite pour Almi</w:t>
      </w:r>
    </w:p>
    <w:p w:rsidR="00315732" w:rsidRPr="00A50C50" w:rsidRDefault="00315732" w:rsidP="00B34DB2">
      <w:pPr>
        <w:spacing w:line="360" w:lineRule="auto"/>
        <w:ind w:left="0" w:right="1693"/>
        <w:rPr>
          <w:rFonts w:cs="Arial"/>
          <w:b/>
          <w:sz w:val="24"/>
          <w:szCs w:val="24"/>
          <w:lang w:val="fr-FR"/>
        </w:rPr>
      </w:pPr>
    </w:p>
    <w:p w:rsidR="00A67260" w:rsidRPr="00A50C50" w:rsidRDefault="00950845" w:rsidP="003328BA">
      <w:pPr>
        <w:pStyle w:val="Listenabsatz"/>
        <w:numPr>
          <w:ilvl w:val="0"/>
          <w:numId w:val="21"/>
        </w:numPr>
        <w:spacing w:line="360" w:lineRule="auto"/>
        <w:ind w:right="1693"/>
        <w:jc w:val="left"/>
        <w:rPr>
          <w:rFonts w:cs="Arial"/>
          <w:b/>
          <w:sz w:val="24"/>
          <w:szCs w:val="24"/>
          <w:lang w:val="fr-FR"/>
        </w:rPr>
      </w:pPr>
      <w:r w:rsidRPr="00A50C50">
        <w:rPr>
          <w:rFonts w:cs="Arial"/>
          <w:b/>
          <w:sz w:val="24"/>
          <w:szCs w:val="24"/>
          <w:lang w:val="fr-FR"/>
        </w:rPr>
        <w:t>TGW modernise sans interrompre l'exploitation l'entrepôt du spécialiste en épices</w:t>
      </w:r>
    </w:p>
    <w:p w:rsidR="00950845" w:rsidRPr="00A50C50" w:rsidRDefault="003328BA" w:rsidP="001F49D5">
      <w:pPr>
        <w:pStyle w:val="Listenabsatz"/>
        <w:numPr>
          <w:ilvl w:val="0"/>
          <w:numId w:val="21"/>
        </w:numPr>
        <w:spacing w:line="360" w:lineRule="auto"/>
        <w:ind w:right="1693"/>
        <w:jc w:val="left"/>
        <w:rPr>
          <w:rFonts w:cs="Arial"/>
          <w:b/>
          <w:sz w:val="24"/>
          <w:szCs w:val="24"/>
          <w:lang w:val="fr-FR"/>
        </w:rPr>
      </w:pPr>
      <w:r w:rsidRPr="00A50C50">
        <w:rPr>
          <w:rFonts w:cs="Arial"/>
          <w:b/>
          <w:sz w:val="24"/>
          <w:szCs w:val="24"/>
          <w:lang w:val="fr-FR"/>
        </w:rPr>
        <w:t>Le renouvellement des équipements et logiciels entraîne une économie d'énergie de jusqu'à 20 pourcents</w:t>
      </w:r>
    </w:p>
    <w:p w:rsidR="00E26207" w:rsidRPr="00A50C50" w:rsidRDefault="00E13783" w:rsidP="003328BA">
      <w:pPr>
        <w:pStyle w:val="Listenabsatz"/>
        <w:numPr>
          <w:ilvl w:val="0"/>
          <w:numId w:val="21"/>
        </w:numPr>
        <w:spacing w:line="360" w:lineRule="auto"/>
        <w:ind w:right="1693"/>
        <w:jc w:val="left"/>
        <w:rPr>
          <w:rFonts w:cs="Arial"/>
          <w:b/>
          <w:sz w:val="24"/>
          <w:szCs w:val="24"/>
          <w:lang w:val="fr-FR"/>
        </w:rPr>
      </w:pPr>
      <w:r w:rsidRPr="00A50C50">
        <w:rPr>
          <w:rFonts w:cs="Arial"/>
          <w:b/>
          <w:sz w:val="24"/>
          <w:szCs w:val="24"/>
          <w:lang w:val="fr-FR"/>
        </w:rPr>
        <w:t>Ce projet garantit la disponibilité à long terme de l'installation</w:t>
      </w:r>
    </w:p>
    <w:p w:rsidR="00A52BBB" w:rsidRPr="00A50C50" w:rsidRDefault="00A52BBB" w:rsidP="00D25685">
      <w:pPr>
        <w:pStyle w:val="Listenabsatz"/>
        <w:spacing w:line="360" w:lineRule="auto"/>
        <w:ind w:right="1693"/>
        <w:rPr>
          <w:rFonts w:cs="Arial"/>
          <w:b/>
          <w:sz w:val="24"/>
          <w:szCs w:val="24"/>
          <w:lang w:val="fr-FR"/>
        </w:rPr>
      </w:pPr>
    </w:p>
    <w:p w:rsidR="005A4DB6" w:rsidRPr="00A50C50" w:rsidRDefault="00EF32D1" w:rsidP="00F67286">
      <w:pPr>
        <w:spacing w:line="360" w:lineRule="auto"/>
        <w:ind w:left="0" w:right="1693"/>
        <w:rPr>
          <w:rFonts w:cs="Arial"/>
          <w:b/>
          <w:szCs w:val="20"/>
          <w:lang w:val="fr-FR"/>
        </w:rPr>
      </w:pPr>
      <w:r w:rsidRPr="00A50C50">
        <w:rPr>
          <w:rFonts w:cs="Arial"/>
          <w:b/>
          <w:szCs w:val="20"/>
          <w:lang w:val="fr-FR"/>
        </w:rPr>
        <w:t xml:space="preserve">(Marchtrenk, le </w:t>
      </w:r>
      <w:r w:rsidR="00A71E88">
        <w:rPr>
          <w:rFonts w:cs="Arial"/>
          <w:b/>
          <w:szCs w:val="20"/>
          <w:lang w:val="fr-FR"/>
        </w:rPr>
        <w:t>27 septembre</w:t>
      </w:r>
      <w:r w:rsidRPr="00A50C50">
        <w:rPr>
          <w:rFonts w:cs="Arial"/>
          <w:b/>
          <w:szCs w:val="20"/>
          <w:lang w:val="fr-FR"/>
        </w:rPr>
        <w:t xml:space="preserve"> 2022) L'entreprise voulant former des chaînes de création de valeur résilientes et ainsi respecter les promesses de livraisons faites aux clients a besoin d'une intralogistique performantes. Almi, le spécialiste en épices de Haute-Autriche, a de ce fait chargé le TGW Logistics Group de moderniser son entrepôt d'Oftering. Les experts de TGW ont réalisé ce projet en un temps record, pendant </w:t>
      </w:r>
      <w:bookmarkStart w:id="0" w:name="_GoBack"/>
      <w:bookmarkEnd w:id="0"/>
      <w:r w:rsidRPr="00A50C50">
        <w:rPr>
          <w:rFonts w:cs="Arial"/>
          <w:b/>
          <w:szCs w:val="20"/>
          <w:lang w:val="fr-FR"/>
        </w:rPr>
        <w:t>l'exploitation et malgré les effets de la pandémie de coronavirus.</w:t>
      </w:r>
    </w:p>
    <w:p w:rsidR="00E819C5" w:rsidRPr="00A50C50" w:rsidRDefault="00E819C5" w:rsidP="00F67286">
      <w:pPr>
        <w:spacing w:line="360" w:lineRule="auto"/>
        <w:ind w:left="0" w:right="1693"/>
        <w:rPr>
          <w:rFonts w:cs="Arial"/>
          <w:b/>
          <w:szCs w:val="20"/>
          <w:lang w:val="fr-FR"/>
        </w:rPr>
      </w:pPr>
    </w:p>
    <w:p w:rsidR="00E852FE" w:rsidRPr="00A50C50" w:rsidRDefault="00E819C5" w:rsidP="00F67286">
      <w:pPr>
        <w:spacing w:line="360" w:lineRule="auto"/>
        <w:ind w:left="0" w:right="1693"/>
        <w:rPr>
          <w:rFonts w:cs="Arial"/>
          <w:bCs/>
          <w:szCs w:val="20"/>
          <w:lang w:val="fr-FR"/>
        </w:rPr>
      </w:pPr>
      <w:r w:rsidRPr="00A50C50">
        <w:rPr>
          <w:rFonts w:cs="Arial"/>
          <w:bCs/>
          <w:szCs w:val="20"/>
          <w:lang w:val="fr-FR"/>
        </w:rPr>
        <w:t>On mangera toujours. Ce proverbe est à la fois une malédiction et une bénédiction pour le fabricant de mélanges d'épices Almi. Bénédiction, parce que l'entreprise, depuis sa création en 1931, a connu une croissance constante grâce à sa stratégie de diversification et d'internationalisation. Aujourd'hui, les gourmets petits et grands se régalent dans 62 pays des produits agrémentés des épices Almi de haute qualité, de la soupe aux asperges au poulet bio. Sur les 132 millions d'euros de chiffre d'affaire annuel de l'entreprise, presque 90 pourcents viennent de l'exportation.</w:t>
      </w:r>
    </w:p>
    <w:p w:rsidR="00D740E2" w:rsidRPr="00A50C50" w:rsidRDefault="00D740E2" w:rsidP="00F67286">
      <w:pPr>
        <w:spacing w:line="360" w:lineRule="auto"/>
        <w:ind w:left="0" w:right="1693"/>
        <w:rPr>
          <w:rFonts w:cs="Arial"/>
          <w:bCs/>
          <w:szCs w:val="20"/>
          <w:lang w:val="fr-FR"/>
        </w:rPr>
      </w:pPr>
    </w:p>
    <w:p w:rsidR="00D740E2" w:rsidRPr="00A50C50" w:rsidRDefault="00D740E2" w:rsidP="00F67286">
      <w:pPr>
        <w:spacing w:line="360" w:lineRule="auto"/>
        <w:ind w:left="0" w:right="1693"/>
        <w:rPr>
          <w:rFonts w:cs="Arial"/>
          <w:b/>
          <w:bCs/>
          <w:szCs w:val="20"/>
          <w:lang w:val="fr-FR"/>
        </w:rPr>
      </w:pPr>
      <w:r w:rsidRPr="00A50C50">
        <w:rPr>
          <w:rFonts w:cs="Arial"/>
          <w:b/>
          <w:bCs/>
          <w:szCs w:val="20"/>
          <w:lang w:val="fr-FR"/>
        </w:rPr>
        <w:t>Modernisation pendant le fonctionnement</w:t>
      </w:r>
    </w:p>
    <w:p w:rsidR="0072106C" w:rsidRPr="00A50C50" w:rsidRDefault="0072106C" w:rsidP="00F67286">
      <w:pPr>
        <w:spacing w:line="360" w:lineRule="auto"/>
        <w:ind w:left="0" w:right="1693"/>
        <w:rPr>
          <w:rFonts w:cs="Arial"/>
          <w:bCs/>
          <w:szCs w:val="20"/>
          <w:lang w:val="fr-FR"/>
        </w:rPr>
      </w:pPr>
    </w:p>
    <w:p w:rsidR="0072106C" w:rsidRPr="00A50C50" w:rsidRDefault="0072106C" w:rsidP="00F67286">
      <w:pPr>
        <w:spacing w:line="360" w:lineRule="auto"/>
        <w:ind w:left="0" w:right="1693"/>
        <w:rPr>
          <w:rFonts w:cs="Arial"/>
          <w:bCs/>
          <w:szCs w:val="20"/>
          <w:lang w:val="fr-FR"/>
        </w:rPr>
      </w:pPr>
      <w:r w:rsidRPr="00A50C50">
        <w:rPr>
          <w:rFonts w:cs="Arial"/>
          <w:bCs/>
          <w:szCs w:val="20"/>
          <w:lang w:val="fr-FR"/>
        </w:rPr>
        <w:t xml:space="preserve">Mais son succès dans l'industrie alimentaire a un prix. Les clients ont faim, même les jours fériés. Cela signifie que, par rapport à d'autres secteurs où la production s'arrête pendant les vacances des entreprises, Almi ne peut pas se permettre de faire de pauses allongées. Pour les projets de construction ou de modernisation, cela représente de réels défis en matière de gestion du temps. </w:t>
      </w:r>
    </w:p>
    <w:p w:rsidR="00010E97" w:rsidRPr="00A50C50" w:rsidRDefault="00010E97" w:rsidP="00F67286">
      <w:pPr>
        <w:spacing w:line="360" w:lineRule="auto"/>
        <w:ind w:left="0" w:right="1693"/>
        <w:rPr>
          <w:rFonts w:cs="Arial"/>
          <w:bCs/>
          <w:szCs w:val="20"/>
          <w:lang w:val="fr-FR"/>
        </w:rPr>
      </w:pPr>
    </w:p>
    <w:p w:rsidR="00010E97" w:rsidRPr="00A50C50" w:rsidRDefault="00A50C50" w:rsidP="00F67286">
      <w:pPr>
        <w:spacing w:line="360" w:lineRule="auto"/>
        <w:ind w:left="0" w:right="1693"/>
        <w:rPr>
          <w:rFonts w:cs="Arial"/>
          <w:bCs/>
          <w:szCs w:val="20"/>
          <w:lang w:val="fr-FR"/>
        </w:rPr>
      </w:pPr>
      <w:r>
        <w:rPr>
          <w:rFonts w:cs="Arial"/>
          <w:bCs/>
          <w:szCs w:val="20"/>
          <w:lang w:val="fr-FR"/>
        </w:rPr>
        <w:t xml:space="preserve">Ce fut aussi le cas pour le rétrofit </w:t>
      </w:r>
      <w:r w:rsidR="00010E97" w:rsidRPr="00A50C50">
        <w:rPr>
          <w:rFonts w:cs="Arial"/>
          <w:bCs/>
          <w:szCs w:val="20"/>
          <w:lang w:val="fr-FR"/>
        </w:rPr>
        <w:t xml:space="preserve">de l'entrepôts de bacs et ses 10 000 emplacements de stockage. Pour pouvoir continuer à tenir ses promesses de livraison et de jeter les bases d'une croissance future, l'entreprise familiale a exclu tout agrandissement. « Pour Almi, </w:t>
      </w:r>
      <w:r w:rsidR="00010E97" w:rsidRPr="00A50C50">
        <w:rPr>
          <w:rFonts w:cs="Arial"/>
          <w:bCs/>
          <w:szCs w:val="20"/>
          <w:lang w:val="fr-FR"/>
        </w:rPr>
        <w:lastRenderedPageBreak/>
        <w:t xml:space="preserve">la durabilité est un sujet essentiel. Sceller des espaces verts est hors de question, c'est pourquoi nous avons voulu dès le départ optimiser l'installation existante pour être bien préparés pour l'avenir », explique le Stefan Lackinger, Responsable de production chez Almi. </w:t>
      </w:r>
    </w:p>
    <w:p w:rsidR="008A5F44" w:rsidRPr="00A50C50" w:rsidRDefault="008A5F44" w:rsidP="00F67286">
      <w:pPr>
        <w:spacing w:line="360" w:lineRule="auto"/>
        <w:ind w:left="0" w:right="1693"/>
        <w:rPr>
          <w:rFonts w:cs="Arial"/>
          <w:bCs/>
          <w:szCs w:val="20"/>
          <w:lang w:val="fr-FR"/>
        </w:rPr>
      </w:pPr>
    </w:p>
    <w:p w:rsidR="00586667" w:rsidRPr="00A50C50" w:rsidRDefault="005E1D57" w:rsidP="00F67286">
      <w:pPr>
        <w:spacing w:line="360" w:lineRule="auto"/>
        <w:ind w:left="0" w:right="1693"/>
        <w:rPr>
          <w:rFonts w:cs="Arial"/>
          <w:bCs/>
          <w:szCs w:val="20"/>
          <w:lang w:val="fr-FR"/>
        </w:rPr>
      </w:pPr>
      <w:r w:rsidRPr="00A50C50">
        <w:rPr>
          <w:rFonts w:cs="Arial"/>
          <w:bCs/>
          <w:szCs w:val="20"/>
          <w:lang w:val="fr-FR"/>
        </w:rPr>
        <w:t>En 2006, Almi a construit un entrepôt sur un terrain de 28 000 mètres carrés, et le marché a été attribué à TGW. Au cœur du système,</w:t>
      </w:r>
      <w:r w:rsidR="00A50C50">
        <w:rPr>
          <w:rFonts w:cs="Arial"/>
          <w:bCs/>
          <w:szCs w:val="20"/>
          <w:lang w:val="fr-FR"/>
        </w:rPr>
        <w:t xml:space="preserve"> </w:t>
      </w:r>
      <w:r w:rsidRPr="00A50C50">
        <w:rPr>
          <w:rFonts w:cs="Arial"/>
          <w:bCs/>
          <w:szCs w:val="20"/>
          <w:lang w:val="fr-FR"/>
        </w:rPr>
        <w:t>un magasin automatisé pour petites pièces de trois allées, avec tampon à bacs et système de convoyage de bacs et de palettes sur trois niveaux. Pour rendre l'intralogistique plus performante, l'installation a été équipée d'un système de convoyage à faible consommation d'énergie. Mais Almi, loin de se contenter de ce statu quo, chargea TGW en 2017 de la mise à niveau du système de gestion des entrepôts (WMS).</w:t>
      </w:r>
    </w:p>
    <w:p w:rsidR="00811B3B" w:rsidRPr="00A50C50" w:rsidRDefault="00811B3B" w:rsidP="00F67286">
      <w:pPr>
        <w:spacing w:line="360" w:lineRule="auto"/>
        <w:ind w:left="0" w:right="1693"/>
        <w:rPr>
          <w:rFonts w:cs="Arial"/>
          <w:bCs/>
          <w:szCs w:val="20"/>
          <w:lang w:val="fr-FR"/>
        </w:rPr>
      </w:pPr>
    </w:p>
    <w:p w:rsidR="00811B3B" w:rsidRPr="00A50C50" w:rsidRDefault="00811B3B" w:rsidP="00F67286">
      <w:pPr>
        <w:spacing w:line="360" w:lineRule="auto"/>
        <w:ind w:left="0" w:right="1693"/>
        <w:rPr>
          <w:rFonts w:cs="Arial"/>
          <w:b/>
          <w:bCs/>
          <w:szCs w:val="20"/>
          <w:lang w:val="fr-FR"/>
        </w:rPr>
      </w:pPr>
      <w:r w:rsidRPr="00A50C50">
        <w:rPr>
          <w:rFonts w:cs="Arial"/>
          <w:b/>
          <w:bCs/>
          <w:szCs w:val="20"/>
          <w:lang w:val="fr-FR"/>
        </w:rPr>
        <w:t>Ensemble vers un avenir vert</w:t>
      </w:r>
    </w:p>
    <w:p w:rsidR="00811B3B" w:rsidRPr="00A50C50" w:rsidRDefault="00811B3B" w:rsidP="00F67286">
      <w:pPr>
        <w:spacing w:line="360" w:lineRule="auto"/>
        <w:ind w:left="0" w:right="1693"/>
        <w:rPr>
          <w:rFonts w:cs="Arial"/>
          <w:bCs/>
          <w:szCs w:val="20"/>
          <w:lang w:val="fr-FR"/>
        </w:rPr>
      </w:pPr>
    </w:p>
    <w:p w:rsidR="008A5F44" w:rsidRPr="00A50C50" w:rsidRDefault="00440D4C" w:rsidP="00F67286">
      <w:pPr>
        <w:spacing w:line="360" w:lineRule="auto"/>
        <w:ind w:left="0" w:right="1693"/>
        <w:rPr>
          <w:rFonts w:cs="Arial"/>
          <w:bCs/>
          <w:szCs w:val="20"/>
          <w:lang w:val="fr-FR"/>
        </w:rPr>
      </w:pPr>
      <w:r w:rsidRPr="00A50C50">
        <w:rPr>
          <w:rFonts w:cs="Arial"/>
          <w:bCs/>
          <w:szCs w:val="20"/>
          <w:lang w:val="fr-FR"/>
        </w:rPr>
        <w:t xml:space="preserve">Almi fut très content du déroulement des opérations. C'est pourquoi TGW a été choisi comme Partenaire naturel pour accompagner Almi sur le chemin de son « avenir vert ». L'impulsion est venue des experts en </w:t>
      </w:r>
      <w:r w:rsidR="00A50C50">
        <w:rPr>
          <w:rFonts w:cs="Arial"/>
          <w:bCs/>
          <w:szCs w:val="20"/>
          <w:lang w:val="fr-FR"/>
        </w:rPr>
        <w:t>rétrofit</w:t>
      </w:r>
      <w:r w:rsidRPr="00A50C50">
        <w:rPr>
          <w:rFonts w:cs="Arial"/>
          <w:bCs/>
          <w:szCs w:val="20"/>
          <w:lang w:val="fr-FR"/>
        </w:rPr>
        <w:t xml:space="preserve"> de TGW et de </w:t>
      </w:r>
      <w:proofErr w:type="gramStart"/>
      <w:r w:rsidRPr="00A50C50">
        <w:rPr>
          <w:rFonts w:cs="Arial"/>
          <w:bCs/>
          <w:szCs w:val="20"/>
          <w:lang w:val="fr-FR"/>
        </w:rPr>
        <w:t>leur concept multifacettes</w:t>
      </w:r>
      <w:proofErr w:type="gramEnd"/>
      <w:r w:rsidRPr="00A50C50">
        <w:rPr>
          <w:rFonts w:cs="Arial"/>
          <w:bCs/>
          <w:szCs w:val="20"/>
          <w:lang w:val="fr-FR"/>
        </w:rPr>
        <w:t> : le changement d'un transstockeur, le remplacement de la mécatronique du système de barres de levage Commissioner, la modernisation de trois chariots de transfert et d'un élévateur à courroie ainsi que l'utilisation d'une nouvelle technique de commande.</w:t>
      </w:r>
    </w:p>
    <w:p w:rsidR="00484C2B" w:rsidRPr="00A50C50" w:rsidRDefault="00484C2B" w:rsidP="00F67286">
      <w:pPr>
        <w:spacing w:line="360" w:lineRule="auto"/>
        <w:ind w:left="0" w:right="1693"/>
        <w:rPr>
          <w:rFonts w:cs="Arial"/>
          <w:bCs/>
          <w:szCs w:val="20"/>
          <w:lang w:val="fr-FR"/>
        </w:rPr>
      </w:pPr>
    </w:p>
    <w:p w:rsidR="00176D8A" w:rsidRPr="00A50C50" w:rsidRDefault="00484C2B" w:rsidP="00F67286">
      <w:pPr>
        <w:spacing w:line="360" w:lineRule="auto"/>
        <w:ind w:left="0" w:right="1693"/>
        <w:rPr>
          <w:rFonts w:cs="Arial"/>
          <w:bCs/>
          <w:szCs w:val="20"/>
          <w:lang w:val="fr-FR"/>
        </w:rPr>
      </w:pPr>
      <w:r w:rsidRPr="00A50C50">
        <w:rPr>
          <w:rFonts w:cs="Arial"/>
          <w:bCs/>
          <w:szCs w:val="20"/>
          <w:lang w:val="fr-FR"/>
        </w:rPr>
        <w:t xml:space="preserve">Nos spécialistes Rétrofit ont approché Almi avec leurs propositions proactives après avoir constaté dans la documentation que certains composants avaient pris de l'âge. Le risque était, qu'en cas de panne, leur remplacement devienne hors de prix ou même impossible. TGW a proposé à Almi plusieurs solutions au choix. « Dans le domaine du rétrofit, chaque projet est spécifique au client, d'où l'importance de l'expérience » souligne Josef Fritz, Sales Project Manager chez TGW. </w:t>
      </w:r>
    </w:p>
    <w:p w:rsidR="001D6321" w:rsidRPr="00A50C50" w:rsidRDefault="001D6321" w:rsidP="00F67286">
      <w:pPr>
        <w:spacing w:line="360" w:lineRule="auto"/>
        <w:ind w:left="0" w:right="1693"/>
        <w:rPr>
          <w:rFonts w:cs="Arial"/>
          <w:bCs/>
          <w:szCs w:val="20"/>
          <w:lang w:val="fr-FR"/>
        </w:rPr>
      </w:pPr>
    </w:p>
    <w:p w:rsidR="001D6321" w:rsidRPr="00A50C50" w:rsidRDefault="001D6321" w:rsidP="00F67286">
      <w:pPr>
        <w:spacing w:line="360" w:lineRule="auto"/>
        <w:ind w:left="0" w:right="1693"/>
        <w:rPr>
          <w:rFonts w:cs="Arial"/>
          <w:b/>
          <w:bCs/>
          <w:szCs w:val="20"/>
          <w:lang w:val="fr-FR"/>
        </w:rPr>
      </w:pPr>
      <w:r w:rsidRPr="00A50C50">
        <w:rPr>
          <w:rFonts w:cs="Arial"/>
          <w:b/>
          <w:bCs/>
          <w:szCs w:val="20"/>
          <w:lang w:val="fr-FR"/>
        </w:rPr>
        <w:t xml:space="preserve">Transstockeurs </w:t>
      </w:r>
      <w:proofErr w:type="spellStart"/>
      <w:r w:rsidRPr="00A50C50">
        <w:rPr>
          <w:rFonts w:cs="Arial"/>
          <w:b/>
          <w:bCs/>
          <w:szCs w:val="20"/>
          <w:lang w:val="fr-FR"/>
        </w:rPr>
        <w:t>écoénergétiques</w:t>
      </w:r>
      <w:proofErr w:type="spellEnd"/>
      <w:r w:rsidRPr="00A50C50">
        <w:rPr>
          <w:rFonts w:cs="Arial"/>
          <w:b/>
          <w:bCs/>
          <w:szCs w:val="20"/>
          <w:lang w:val="fr-FR"/>
        </w:rPr>
        <w:t xml:space="preserve"> Mustang E+</w:t>
      </w:r>
    </w:p>
    <w:p w:rsidR="00176D8A" w:rsidRPr="00A50C50" w:rsidRDefault="00176D8A" w:rsidP="00F67286">
      <w:pPr>
        <w:spacing w:line="360" w:lineRule="auto"/>
        <w:ind w:left="0" w:right="1693"/>
        <w:rPr>
          <w:rFonts w:cs="Arial"/>
          <w:bCs/>
          <w:szCs w:val="20"/>
          <w:lang w:val="fr-FR"/>
        </w:rPr>
      </w:pPr>
    </w:p>
    <w:p w:rsidR="008B727F" w:rsidRPr="00A50C50" w:rsidRDefault="00176D8A" w:rsidP="00C32C8B">
      <w:pPr>
        <w:spacing w:line="360" w:lineRule="auto"/>
        <w:ind w:left="0" w:right="1693"/>
        <w:rPr>
          <w:rFonts w:cs="Arial"/>
          <w:bCs/>
          <w:szCs w:val="20"/>
          <w:lang w:val="fr-FR"/>
        </w:rPr>
      </w:pPr>
      <w:r w:rsidRPr="00A50C50">
        <w:rPr>
          <w:rFonts w:cs="Arial"/>
          <w:bCs/>
          <w:szCs w:val="20"/>
          <w:lang w:val="fr-FR"/>
        </w:rPr>
        <w:t xml:space="preserve">Une partie de l'investissement moyen à six chiffres a été adjugée au remplacement du transstockeur. TGW a prévu ici un transstockeur Mustang E+ hautement dynamique de dernière génération. Ses atouts par rapport aux appareils plus anciens : il pèse moins, est équipé d'une commande moderne et se passe de la technologie anti-oscillation. Ceci permet des économies d'énergie. Dans le principe, le rétrofit, c'est comme la cuisine : La meilleure recette n'apporte aucun plaisir si le cuisinier est un novice. TGW a plus d'un demi-siècle d'expérience à son actif, et le secteur Rétrofit connaît plus particulièrement une forte croissance. Aujourd'hui, l'intégrateur système réalise presque cinq fois plus de </w:t>
      </w:r>
      <w:r w:rsidRPr="00A50C50">
        <w:rPr>
          <w:rFonts w:cs="Arial"/>
          <w:bCs/>
          <w:szCs w:val="20"/>
          <w:lang w:val="fr-FR"/>
        </w:rPr>
        <w:lastRenderedPageBreak/>
        <w:t>projets qu'il y a dix ans et procède de manière systématique pour chaque projet. « Pour tout gestionnaire de logistique, l'immobilisation des installations est un désastre », souligne Markus Kammerhofer, Director Sales Retrofit chez TGW. Au fil des années, TGW a défini sept facteurs de réussite :</w:t>
      </w:r>
    </w:p>
    <w:p w:rsidR="00C32C8B" w:rsidRPr="00A50C50" w:rsidRDefault="008B727F" w:rsidP="008B727F">
      <w:pPr>
        <w:tabs>
          <w:tab w:val="left" w:pos="1534"/>
        </w:tabs>
        <w:spacing w:line="360" w:lineRule="auto"/>
        <w:ind w:left="0" w:right="1693"/>
        <w:rPr>
          <w:rFonts w:cs="Arial"/>
          <w:bCs/>
          <w:sz w:val="18"/>
          <w:szCs w:val="18"/>
          <w:lang w:val="fr-FR"/>
        </w:rPr>
      </w:pPr>
      <w:r w:rsidRPr="00A50C50">
        <w:rPr>
          <w:rFonts w:cs="Arial"/>
          <w:bCs/>
          <w:szCs w:val="20"/>
          <w:lang w:val="fr-FR"/>
        </w:rPr>
        <w:tab/>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Respecter le délai de préparation et commencer à temps</w:t>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Choisir des partenaires et directeurs de projet expérimentés</w:t>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Élaborer un plan structuré</w:t>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Intégrer des solutions rétrofit spécialement développées</w:t>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Créer un cahier des charges détaillé</w:t>
      </w:r>
    </w:p>
    <w:p w:rsidR="00C32C8B"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Exactement définir les étapes de migration</w:t>
      </w:r>
    </w:p>
    <w:p w:rsidR="005847C6" w:rsidRPr="00A50C50" w:rsidRDefault="00C32C8B" w:rsidP="008B727F">
      <w:pPr>
        <w:pStyle w:val="Listenabsatz"/>
        <w:numPr>
          <w:ilvl w:val="0"/>
          <w:numId w:val="24"/>
        </w:numPr>
        <w:spacing w:line="240" w:lineRule="auto"/>
        <w:ind w:left="714" w:right="1695" w:hanging="357"/>
        <w:rPr>
          <w:rFonts w:cs="Arial"/>
          <w:bCs/>
          <w:szCs w:val="20"/>
          <w:lang w:val="fr-FR"/>
        </w:rPr>
      </w:pPr>
      <w:r w:rsidRPr="00A50C50">
        <w:rPr>
          <w:rFonts w:cs="Arial"/>
          <w:bCs/>
          <w:szCs w:val="20"/>
          <w:lang w:val="fr-FR"/>
        </w:rPr>
        <w:t>Bien former les collaborateurs</w:t>
      </w:r>
    </w:p>
    <w:p w:rsidR="00C32C8B" w:rsidRPr="00A50C50" w:rsidRDefault="00C32C8B" w:rsidP="00F67286">
      <w:pPr>
        <w:spacing w:line="360" w:lineRule="auto"/>
        <w:ind w:left="0" w:right="1693"/>
        <w:rPr>
          <w:rFonts w:cs="Arial"/>
          <w:bCs/>
          <w:sz w:val="18"/>
          <w:szCs w:val="18"/>
          <w:lang w:val="fr-FR"/>
        </w:rPr>
      </w:pPr>
    </w:p>
    <w:p w:rsidR="00FB7C90" w:rsidRPr="00A50C50" w:rsidRDefault="00FB7C90" w:rsidP="00F67286">
      <w:pPr>
        <w:spacing w:line="360" w:lineRule="auto"/>
        <w:ind w:left="0" w:right="1693"/>
        <w:rPr>
          <w:rFonts w:cs="Arial"/>
          <w:bCs/>
          <w:sz w:val="18"/>
          <w:szCs w:val="18"/>
          <w:lang w:val="fr-FR"/>
        </w:rPr>
      </w:pPr>
    </w:p>
    <w:p w:rsidR="00F51C70" w:rsidRPr="00A50C50" w:rsidRDefault="00B23A96" w:rsidP="00F67286">
      <w:pPr>
        <w:spacing w:line="360" w:lineRule="auto"/>
        <w:ind w:left="0" w:right="1693"/>
        <w:rPr>
          <w:rFonts w:cs="Arial"/>
          <w:b/>
          <w:bCs/>
          <w:szCs w:val="20"/>
          <w:lang w:val="fr-FR"/>
        </w:rPr>
      </w:pPr>
      <w:r w:rsidRPr="00A50C50">
        <w:rPr>
          <w:rFonts w:cs="Arial"/>
          <w:b/>
          <w:bCs/>
          <w:szCs w:val="20"/>
          <w:lang w:val="fr-FR"/>
        </w:rPr>
        <w:t>Planification et préparation comme facteurs du succès</w:t>
      </w:r>
    </w:p>
    <w:p w:rsidR="00F51C70" w:rsidRPr="00A50C50" w:rsidRDefault="00F51C70" w:rsidP="00F67286">
      <w:pPr>
        <w:spacing w:line="360" w:lineRule="auto"/>
        <w:ind w:left="0" w:right="1693"/>
        <w:rPr>
          <w:rFonts w:cs="Arial"/>
          <w:bCs/>
          <w:sz w:val="18"/>
          <w:szCs w:val="18"/>
          <w:lang w:val="fr-FR"/>
        </w:rPr>
      </w:pPr>
    </w:p>
    <w:p w:rsidR="005A593A" w:rsidRPr="00A50C50" w:rsidRDefault="00A865BA" w:rsidP="00F67286">
      <w:pPr>
        <w:spacing w:line="360" w:lineRule="auto"/>
        <w:ind w:left="0" w:right="1693"/>
        <w:rPr>
          <w:rFonts w:cs="Arial"/>
          <w:bCs/>
          <w:szCs w:val="20"/>
          <w:lang w:val="fr-FR"/>
        </w:rPr>
      </w:pPr>
      <w:r w:rsidRPr="00A50C50">
        <w:rPr>
          <w:rFonts w:cs="Arial"/>
          <w:bCs/>
          <w:szCs w:val="20"/>
          <w:lang w:val="fr-FR"/>
        </w:rPr>
        <w:t xml:space="preserve">La première rencontre a eu lieu début 2021, l'équipe a élaboré son plan de projet en été, suivi du cahier des charges. Les experts ont ensuite défini les étapes nécessaires à la migration et un agenda serré. Ce dernier a représenté pour tous les participants des contraintes élevées. L'objectif : Mener à bien l'ensemble du projet au cours de la nouvelle année afin de réduire au maximum les périodes d'immobilisation. </w:t>
      </w:r>
    </w:p>
    <w:p w:rsidR="00AC4563" w:rsidRPr="00A50C50" w:rsidRDefault="00AC4563" w:rsidP="00F67286">
      <w:pPr>
        <w:spacing w:line="360" w:lineRule="auto"/>
        <w:ind w:left="0" w:right="1693"/>
        <w:rPr>
          <w:rFonts w:cs="Arial"/>
          <w:bCs/>
          <w:sz w:val="18"/>
          <w:szCs w:val="18"/>
          <w:lang w:val="fr-FR"/>
        </w:rPr>
      </w:pPr>
    </w:p>
    <w:p w:rsidR="003806C2" w:rsidRPr="00A50C50" w:rsidRDefault="00AC4563" w:rsidP="00F67286">
      <w:pPr>
        <w:spacing w:line="360" w:lineRule="auto"/>
        <w:ind w:left="0" w:right="1693"/>
        <w:rPr>
          <w:rFonts w:cs="Arial"/>
          <w:bCs/>
          <w:szCs w:val="20"/>
          <w:lang w:val="fr-FR"/>
        </w:rPr>
      </w:pPr>
      <w:r w:rsidRPr="00A50C50">
        <w:rPr>
          <w:rFonts w:cs="Arial"/>
          <w:bCs/>
          <w:szCs w:val="20"/>
          <w:lang w:val="fr-FR"/>
        </w:rPr>
        <w:t xml:space="preserve">Arrivés chez Almi le 21 décembre, les professionnels de TGW y sont, à l'exception du Nouvel An, restés jusqu'au 7 janvier 2022. Mais cette courte période n'était pas le seul défi. « Toutes les étapes jusqu'au lancement le 7 janvier ont dû être planifiées de façon détaillée », indique Josef Fritz. Le projet n'a cependant pas pu être complétement terminé à l'Épiphanie, comme prévu initialement. Mais ce délai n'était pas dû à TGW : La pandémie de coronavirus et les goulots d'étranglement dans l'approvisionnement en matériel à l'échelle mondiale ont retardé le remplacement du matériel jusqu'en avril, et il a été fait pendant les week-ends. </w:t>
      </w:r>
    </w:p>
    <w:p w:rsidR="001F49D5" w:rsidRPr="00A50C50" w:rsidRDefault="001F49D5" w:rsidP="00F67286">
      <w:pPr>
        <w:spacing w:line="360" w:lineRule="auto"/>
        <w:ind w:left="0" w:right="1693"/>
        <w:rPr>
          <w:rFonts w:cs="Arial"/>
          <w:bCs/>
          <w:sz w:val="18"/>
          <w:szCs w:val="18"/>
          <w:lang w:val="fr-FR"/>
        </w:rPr>
      </w:pPr>
    </w:p>
    <w:p w:rsidR="003806C2" w:rsidRPr="00A50C50" w:rsidRDefault="003806C2" w:rsidP="00F67286">
      <w:pPr>
        <w:spacing w:line="360" w:lineRule="auto"/>
        <w:ind w:left="0" w:right="1693"/>
        <w:rPr>
          <w:rFonts w:cs="Arial"/>
          <w:b/>
          <w:bCs/>
          <w:szCs w:val="20"/>
          <w:lang w:val="fr-FR"/>
        </w:rPr>
      </w:pPr>
      <w:r w:rsidRPr="00A50C50">
        <w:rPr>
          <w:rFonts w:cs="Arial"/>
          <w:b/>
          <w:bCs/>
          <w:szCs w:val="20"/>
          <w:lang w:val="fr-FR"/>
        </w:rPr>
        <w:t>Économies d'énergie jusqu'à 20 pourcents</w:t>
      </w:r>
    </w:p>
    <w:p w:rsidR="003806C2" w:rsidRPr="00A50C50" w:rsidRDefault="008B727F" w:rsidP="008B727F">
      <w:pPr>
        <w:tabs>
          <w:tab w:val="left" w:pos="2229"/>
        </w:tabs>
        <w:spacing w:line="360" w:lineRule="auto"/>
        <w:ind w:left="0" w:right="1693"/>
        <w:rPr>
          <w:rFonts w:cs="Arial"/>
          <w:bCs/>
          <w:sz w:val="18"/>
          <w:szCs w:val="18"/>
          <w:lang w:val="fr-FR"/>
        </w:rPr>
      </w:pPr>
      <w:r w:rsidRPr="00A50C50">
        <w:rPr>
          <w:rFonts w:cs="Arial"/>
          <w:bCs/>
          <w:szCs w:val="20"/>
          <w:lang w:val="fr-FR"/>
        </w:rPr>
        <w:tab/>
      </w:r>
    </w:p>
    <w:p w:rsidR="00E852FE" w:rsidRPr="00A50C50" w:rsidRDefault="001F49D5" w:rsidP="00C87F97">
      <w:pPr>
        <w:spacing w:line="360" w:lineRule="auto"/>
        <w:ind w:left="0" w:right="1693"/>
        <w:rPr>
          <w:rFonts w:cs="Arial"/>
          <w:bCs/>
          <w:szCs w:val="20"/>
          <w:lang w:val="fr-FR"/>
        </w:rPr>
      </w:pPr>
      <w:r w:rsidRPr="00A50C50">
        <w:rPr>
          <w:rFonts w:cs="Arial"/>
          <w:bCs/>
          <w:szCs w:val="20"/>
          <w:lang w:val="fr-FR"/>
        </w:rPr>
        <w:t>Mais, malgré ces conditions difficiles, le projet a pu être finalisé fin avril 2022. Le résultat satisfait grandement le responsable de p</w:t>
      </w:r>
      <w:r w:rsidR="00A50C50">
        <w:rPr>
          <w:rFonts w:cs="Arial"/>
          <w:bCs/>
          <w:szCs w:val="20"/>
          <w:lang w:val="fr-FR"/>
        </w:rPr>
        <w:t xml:space="preserve">roduction d'Almi. D'une part, le rétrofit </w:t>
      </w:r>
      <w:r w:rsidRPr="00A50C50">
        <w:rPr>
          <w:rFonts w:cs="Arial"/>
          <w:bCs/>
          <w:szCs w:val="20"/>
          <w:lang w:val="fr-FR"/>
        </w:rPr>
        <w:t>a augmenté la disponibilité de l'installation, et d'autre part, les pièces de rechange pour la maintenance sont moins chères. Et la stratégie Logistique verte de l'entreprise a franchi une étape importante, avec notamment la réalisation de l'audit énergétique ISO 50002. « Dans l'intralogistique, nous pouvons réaliser des économies d'énergie de jusqu'à 20 pourcents. Auparavant, l'énergie de freinage inutilisée du transstockeur était perdue. Aujourd'hui, nous les réinjectons dans le réseau. Après l</w:t>
      </w:r>
      <w:r w:rsidR="00A50C50">
        <w:rPr>
          <w:rFonts w:cs="Arial"/>
          <w:bCs/>
          <w:szCs w:val="20"/>
          <w:lang w:val="fr-FR"/>
        </w:rPr>
        <w:t>e rétrofit</w:t>
      </w:r>
      <w:r w:rsidRPr="00A50C50">
        <w:rPr>
          <w:rFonts w:cs="Arial"/>
          <w:bCs/>
          <w:szCs w:val="20"/>
          <w:lang w:val="fr-FR"/>
        </w:rPr>
        <w:t xml:space="preserve"> effectué par notre partenaire TGW, notre avenir est plus vert. »</w:t>
      </w:r>
    </w:p>
    <w:p w:rsidR="002E0554" w:rsidRPr="00A50C50" w:rsidRDefault="002E0554" w:rsidP="00F67286">
      <w:pPr>
        <w:spacing w:line="360" w:lineRule="auto"/>
        <w:ind w:left="0" w:right="1693"/>
        <w:rPr>
          <w:rFonts w:cs="Arial"/>
          <w:bCs/>
          <w:sz w:val="24"/>
          <w:szCs w:val="24"/>
          <w:lang w:val="fr-FR"/>
        </w:rPr>
      </w:pPr>
    </w:p>
    <w:p w:rsidR="00C27AD9" w:rsidRPr="00A50C50" w:rsidRDefault="00C27AD9" w:rsidP="00F7419A">
      <w:pPr>
        <w:spacing w:line="240" w:lineRule="auto"/>
        <w:ind w:left="0" w:right="1693"/>
        <w:rPr>
          <w:rFonts w:cs="Arial"/>
          <w:b/>
          <w:sz w:val="16"/>
          <w:szCs w:val="16"/>
          <w:lang w:val="fr-FR"/>
        </w:rPr>
      </w:pPr>
      <w:r w:rsidRPr="00A50C50">
        <w:rPr>
          <w:rFonts w:cs="Arial"/>
          <w:b/>
          <w:sz w:val="16"/>
          <w:szCs w:val="16"/>
          <w:lang w:val="fr-FR"/>
        </w:rPr>
        <w:t>À propos de Almi</w:t>
      </w:r>
    </w:p>
    <w:p w:rsidR="00C27AD9" w:rsidRPr="00A50C50" w:rsidRDefault="00C27AD9" w:rsidP="00F7419A">
      <w:pPr>
        <w:spacing w:line="240" w:lineRule="auto"/>
        <w:ind w:left="0" w:right="1693"/>
        <w:rPr>
          <w:rFonts w:cs="Arial"/>
          <w:bCs/>
          <w:sz w:val="16"/>
          <w:szCs w:val="16"/>
          <w:lang w:val="fr-FR"/>
        </w:rPr>
      </w:pPr>
    </w:p>
    <w:p w:rsidR="00C27AD9" w:rsidRPr="00A50C50" w:rsidRDefault="00E852FE" w:rsidP="00F7419A">
      <w:pPr>
        <w:spacing w:line="240" w:lineRule="auto"/>
        <w:ind w:left="0" w:right="1693"/>
        <w:rPr>
          <w:rFonts w:cs="Arial"/>
          <w:bCs/>
          <w:sz w:val="16"/>
          <w:szCs w:val="16"/>
          <w:lang w:val="fr-FR"/>
        </w:rPr>
      </w:pPr>
      <w:r w:rsidRPr="00A50C50">
        <w:rPr>
          <w:rFonts w:cs="Arial"/>
          <w:bCs/>
          <w:sz w:val="16"/>
          <w:szCs w:val="16"/>
          <w:lang w:val="fr-FR"/>
        </w:rPr>
        <w:t xml:space="preserve">L'entreprise Almi GmbH, sise à Oftering (Haute-Autriche) est passé au cours de ces neuf décennies du petit magasin au fabricant international de mélanges d'épices de haute qualité et d'additifs pour la production de saucisses, de viande et de poisson. Avec plus de 300 collaborateurs sur le site d'Oftering et environ 592 dans le monde, l'entreprise familiale, dont le chiffre d'affaires annuel représente environ 132 millions d'euros, est présente dans plus de 62 pays avec ses filiales propres ou par l'intermédiaire de partenaires commerciaux. </w:t>
      </w:r>
    </w:p>
    <w:p w:rsidR="00473B5A" w:rsidRPr="00A50C50" w:rsidRDefault="00473B5A" w:rsidP="00F7419A">
      <w:pPr>
        <w:spacing w:line="240" w:lineRule="auto"/>
        <w:ind w:left="0" w:right="1693"/>
        <w:rPr>
          <w:rFonts w:cs="Arial"/>
          <w:szCs w:val="20"/>
          <w:lang w:val="fr-FR"/>
        </w:rPr>
      </w:pPr>
    </w:p>
    <w:p w:rsidR="00BC7952" w:rsidRPr="00A50C50" w:rsidRDefault="00BC7952" w:rsidP="00F7419A">
      <w:pPr>
        <w:spacing w:line="240" w:lineRule="auto"/>
        <w:ind w:left="0" w:right="1693"/>
        <w:rPr>
          <w:rStyle w:val="Hyperlink"/>
          <w:b/>
          <w:color w:val="auto"/>
          <w:sz w:val="16"/>
          <w:szCs w:val="16"/>
          <w:u w:val="none"/>
          <w:lang w:val="fr-FR"/>
        </w:rPr>
      </w:pPr>
      <w:r w:rsidRPr="00A50C50">
        <w:rPr>
          <w:rStyle w:val="Hyperlink"/>
          <w:b/>
          <w:color w:val="auto"/>
          <w:sz w:val="16"/>
          <w:szCs w:val="16"/>
          <w:u w:val="none"/>
          <w:lang w:val="fr-FR"/>
        </w:rPr>
        <w:t>À propos de TGW Logistics Group :</w:t>
      </w:r>
    </w:p>
    <w:p w:rsidR="00BC7952" w:rsidRPr="00A50C50" w:rsidRDefault="00BC7952" w:rsidP="00F7419A">
      <w:pPr>
        <w:spacing w:line="240" w:lineRule="auto"/>
        <w:ind w:left="0" w:right="1695"/>
        <w:rPr>
          <w:rStyle w:val="Hyperlink"/>
          <w:color w:val="auto"/>
          <w:sz w:val="16"/>
          <w:szCs w:val="16"/>
          <w:u w:val="none"/>
          <w:lang w:val="fr-FR"/>
        </w:rPr>
      </w:pPr>
      <w:r w:rsidRPr="00A50C50">
        <w:rPr>
          <w:rStyle w:val="Hyperlink"/>
          <w:color w:val="auto"/>
          <w:sz w:val="16"/>
          <w:szCs w:val="16"/>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A50C50">
        <w:rPr>
          <w:rStyle w:val="Hyperlink"/>
          <w:color w:val="auto"/>
          <w:sz w:val="16"/>
          <w:szCs w:val="16"/>
          <w:u w:val="none"/>
          <w:lang w:val="fr-FR"/>
        </w:rPr>
        <w:t>de A</w:t>
      </w:r>
      <w:proofErr w:type="gramEnd"/>
      <w:r w:rsidRPr="00A50C50">
        <w:rPr>
          <w:rStyle w:val="Hyperlink"/>
          <w:color w:val="auto"/>
          <w:sz w:val="16"/>
          <w:szCs w:val="16"/>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A50C50" w:rsidRDefault="00BC7952" w:rsidP="00F7419A">
      <w:pPr>
        <w:spacing w:line="240" w:lineRule="auto"/>
        <w:ind w:left="0" w:right="1695"/>
        <w:rPr>
          <w:rStyle w:val="Hyperlink"/>
          <w:color w:val="auto"/>
          <w:sz w:val="16"/>
          <w:szCs w:val="16"/>
          <w:u w:val="none"/>
          <w:lang w:val="fr-FR"/>
        </w:rPr>
      </w:pPr>
    </w:p>
    <w:p w:rsidR="00BC7952" w:rsidRPr="00A50C50" w:rsidRDefault="00BC7952" w:rsidP="00F7419A">
      <w:pPr>
        <w:spacing w:line="240" w:lineRule="auto"/>
        <w:ind w:left="0" w:right="1695"/>
        <w:rPr>
          <w:rStyle w:val="Hyperlink"/>
          <w:color w:val="auto"/>
          <w:sz w:val="16"/>
          <w:szCs w:val="16"/>
          <w:u w:val="none"/>
          <w:lang w:val="fr-FR"/>
        </w:rPr>
      </w:pPr>
      <w:r w:rsidRPr="00A50C50">
        <w:rPr>
          <w:rStyle w:val="Hyperlink"/>
          <w:color w:val="auto"/>
          <w:sz w:val="16"/>
          <w:szCs w:val="16"/>
          <w:u w:val="none"/>
          <w:lang w:val="fr-FR"/>
        </w:rPr>
        <w:t>TGW Logistics Group a des filiales en Europe, en Chine et aux États-Unis et compte plus de 4 000 employés répartis dans le monde entier. Au cours de l'exercice 2020/2021, l'entreprise a réalisé un chiffre d'affaires total de 813 millions d'euros.</w:t>
      </w:r>
    </w:p>
    <w:p w:rsidR="00BC7952" w:rsidRPr="00A50C50" w:rsidRDefault="00BC7952" w:rsidP="00BC7952">
      <w:pPr>
        <w:spacing w:line="240" w:lineRule="auto"/>
        <w:ind w:left="0" w:right="1693"/>
        <w:rPr>
          <w:rStyle w:val="Hyperlink"/>
          <w:color w:val="auto"/>
          <w:u w:val="none"/>
          <w:lang w:val="fr-FR"/>
        </w:rPr>
      </w:pPr>
    </w:p>
    <w:p w:rsidR="003328BA" w:rsidRPr="00A50C50" w:rsidRDefault="00A71E88" w:rsidP="003328BA">
      <w:pPr>
        <w:spacing w:line="360" w:lineRule="auto"/>
        <w:ind w:left="0" w:right="1693"/>
        <w:rPr>
          <w:lang w:val="fr-FR"/>
        </w:rPr>
      </w:pPr>
      <w:hyperlink r:id="rId11" w:history="1">
        <w:r w:rsidR="00EB1B5A" w:rsidRPr="00A50C50">
          <w:rPr>
            <w:rStyle w:val="Hyperlink"/>
            <w:lang w:val="fr-FR"/>
          </w:rPr>
          <w:t>www.tgw-group.com</w:t>
        </w:r>
      </w:hyperlink>
    </w:p>
    <w:p w:rsidR="00BC7952" w:rsidRPr="00A50C50" w:rsidRDefault="00BC7952" w:rsidP="00BC7952">
      <w:pPr>
        <w:spacing w:line="240" w:lineRule="auto"/>
        <w:ind w:left="0" w:right="1693"/>
        <w:rPr>
          <w:rStyle w:val="Hyperlink"/>
          <w:color w:val="auto"/>
          <w:u w:val="none"/>
          <w:lang w:val="fr-FR"/>
        </w:rPr>
      </w:pPr>
    </w:p>
    <w:p w:rsidR="00EB1B5A" w:rsidRPr="00A50C50" w:rsidRDefault="00EB1B5A" w:rsidP="00BC7952">
      <w:pPr>
        <w:spacing w:line="240" w:lineRule="auto"/>
        <w:ind w:left="0" w:right="1693"/>
        <w:rPr>
          <w:rStyle w:val="Hyperlink"/>
          <w:color w:val="auto"/>
          <w:u w:val="none"/>
          <w:lang w:val="fr-FR"/>
        </w:rPr>
      </w:pPr>
    </w:p>
    <w:p w:rsidR="003328BA" w:rsidRPr="00A50C50" w:rsidRDefault="00BC7952" w:rsidP="00BC7952">
      <w:pPr>
        <w:spacing w:line="240" w:lineRule="auto"/>
        <w:ind w:left="0" w:right="1693"/>
        <w:rPr>
          <w:rStyle w:val="Hyperlink"/>
          <w:b/>
          <w:color w:val="auto"/>
          <w:u w:val="none"/>
          <w:lang w:val="fr-FR"/>
        </w:rPr>
      </w:pPr>
      <w:r w:rsidRPr="00A50C50">
        <w:rPr>
          <w:rStyle w:val="Hyperlink"/>
          <w:b/>
          <w:color w:val="auto"/>
          <w:u w:val="none"/>
          <w:lang w:val="fr-FR"/>
        </w:rPr>
        <w:t>Images</w:t>
      </w:r>
    </w:p>
    <w:p w:rsidR="003328BA" w:rsidRPr="00A50C50" w:rsidRDefault="003328BA" w:rsidP="00BC7952">
      <w:pPr>
        <w:spacing w:line="240" w:lineRule="auto"/>
        <w:ind w:left="0" w:right="1693"/>
        <w:rPr>
          <w:rStyle w:val="Hyperlink"/>
          <w:rFonts w:cs="Arial"/>
          <w:color w:val="auto"/>
          <w:u w:val="none"/>
          <w:lang w:val="fr-FR"/>
        </w:rPr>
      </w:pPr>
      <w:r w:rsidRPr="00A50C50">
        <w:rPr>
          <w:rStyle w:val="Hyperlink"/>
          <w:rFonts w:cs="Arial"/>
          <w:color w:val="auto"/>
          <w:u w:val="none"/>
          <w:lang w:val="fr-FR"/>
        </w:rPr>
        <w:t>© Almi</w:t>
      </w:r>
    </w:p>
    <w:p w:rsidR="003328BA" w:rsidRPr="00A50C50" w:rsidRDefault="003328BA" w:rsidP="00BC7952">
      <w:pPr>
        <w:spacing w:line="240" w:lineRule="auto"/>
        <w:ind w:left="0" w:right="1693"/>
        <w:rPr>
          <w:rStyle w:val="Hyperlink"/>
          <w:color w:val="auto"/>
          <w:u w:val="none"/>
          <w:lang w:val="fr-FR"/>
        </w:rPr>
      </w:pP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A50C50" w:rsidRDefault="00BC7952" w:rsidP="00BC7952">
      <w:pPr>
        <w:spacing w:line="240" w:lineRule="auto"/>
        <w:ind w:left="0" w:right="1693"/>
        <w:rPr>
          <w:rStyle w:val="Hyperlink"/>
          <w:color w:val="auto"/>
          <w:u w:val="none"/>
          <w:lang w:val="fr-FR"/>
        </w:rPr>
      </w:pPr>
    </w:p>
    <w:p w:rsidR="00BC7952" w:rsidRPr="00A50C50" w:rsidRDefault="00BC7952" w:rsidP="00BC7952">
      <w:pPr>
        <w:spacing w:line="240" w:lineRule="auto"/>
        <w:ind w:left="0" w:right="1693"/>
        <w:rPr>
          <w:rStyle w:val="Hyperlink"/>
          <w:color w:val="auto"/>
          <w:u w:val="none"/>
          <w:lang w:val="fr-FR"/>
        </w:rPr>
      </w:pPr>
    </w:p>
    <w:p w:rsidR="00BC7952" w:rsidRPr="00A50C50" w:rsidRDefault="00BC7952" w:rsidP="00BC7952">
      <w:pPr>
        <w:spacing w:line="240" w:lineRule="auto"/>
        <w:ind w:left="0" w:right="1693"/>
        <w:rPr>
          <w:rStyle w:val="Hyperlink"/>
          <w:b/>
          <w:color w:val="auto"/>
          <w:u w:val="none"/>
          <w:lang w:val="fr-FR"/>
        </w:rPr>
      </w:pPr>
      <w:r w:rsidRPr="00A50C50">
        <w:rPr>
          <w:rStyle w:val="Hyperlink"/>
          <w:b/>
          <w:color w:val="auto"/>
          <w:u w:val="none"/>
          <w:lang w:val="fr-FR"/>
        </w:rPr>
        <w:t>Contact :</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TGW Logistics Group GmbH</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A-4614 Marchtrenk, Ludwig Szinicz Straße 3</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T : +</w:t>
      </w:r>
      <w:proofErr w:type="gramStart"/>
      <w:r w:rsidRPr="00A50C50">
        <w:rPr>
          <w:rStyle w:val="Hyperlink"/>
          <w:color w:val="auto"/>
          <w:u w:val="none"/>
          <w:lang w:val="fr-FR"/>
        </w:rPr>
        <w:t>43.(</w:t>
      </w:r>
      <w:proofErr w:type="gramEnd"/>
      <w:r w:rsidRPr="00A50C50">
        <w:rPr>
          <w:rStyle w:val="Hyperlink"/>
          <w:color w:val="auto"/>
          <w:u w:val="none"/>
          <w:lang w:val="fr-FR"/>
        </w:rPr>
        <w:t>0)50.486-0</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F : +</w:t>
      </w:r>
      <w:proofErr w:type="gramStart"/>
      <w:r w:rsidRPr="00A50C50">
        <w:rPr>
          <w:rStyle w:val="Hyperlink"/>
          <w:color w:val="auto"/>
          <w:u w:val="none"/>
          <w:lang w:val="fr-FR"/>
        </w:rPr>
        <w:t>43.(</w:t>
      </w:r>
      <w:proofErr w:type="gramEnd"/>
      <w:r w:rsidRPr="00A50C50">
        <w:rPr>
          <w:rStyle w:val="Hyperlink"/>
          <w:color w:val="auto"/>
          <w:u w:val="none"/>
          <w:lang w:val="fr-FR"/>
        </w:rPr>
        <w:t>0)50.486-31</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Courriel : tgw@tgw-group.com</w:t>
      </w:r>
    </w:p>
    <w:p w:rsidR="00BC7952" w:rsidRPr="00A50C50" w:rsidRDefault="00BC7952" w:rsidP="00BC7952">
      <w:pPr>
        <w:spacing w:line="240" w:lineRule="auto"/>
        <w:ind w:left="0" w:right="1693"/>
        <w:rPr>
          <w:rStyle w:val="Hyperlink"/>
          <w:color w:val="auto"/>
          <w:u w:val="none"/>
          <w:lang w:val="fr-FR"/>
        </w:rPr>
      </w:pPr>
    </w:p>
    <w:p w:rsidR="00F92A0D" w:rsidRPr="00A50C50" w:rsidRDefault="00F92A0D" w:rsidP="00BC7952">
      <w:pPr>
        <w:spacing w:line="240" w:lineRule="auto"/>
        <w:ind w:left="0" w:right="1693"/>
        <w:rPr>
          <w:rStyle w:val="Hyperlink"/>
          <w:color w:val="auto"/>
          <w:u w:val="none"/>
          <w:lang w:val="fr-FR"/>
        </w:rPr>
      </w:pPr>
    </w:p>
    <w:p w:rsidR="00F92A0D" w:rsidRPr="00A50C50" w:rsidRDefault="00F92A0D" w:rsidP="00BC7952">
      <w:pPr>
        <w:spacing w:line="240" w:lineRule="auto"/>
        <w:ind w:left="0" w:right="1693"/>
        <w:rPr>
          <w:rStyle w:val="Hyperlink"/>
          <w:color w:val="auto"/>
          <w:u w:val="none"/>
          <w:lang w:val="fr-FR"/>
        </w:rPr>
      </w:pPr>
      <w:r w:rsidRPr="00A50C50">
        <w:rPr>
          <w:rStyle w:val="Hyperlink"/>
          <w:color w:val="auto"/>
          <w:u w:val="none"/>
          <w:lang w:val="fr-FR"/>
        </w:rPr>
        <w:t>Attaché de presse :</w:t>
      </w:r>
    </w:p>
    <w:p w:rsidR="00F92A0D"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Alexander Tahedl</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Communications Specialist</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T : +</w:t>
      </w:r>
      <w:proofErr w:type="gramStart"/>
      <w:r w:rsidRPr="00A50C50">
        <w:rPr>
          <w:rStyle w:val="Hyperlink"/>
          <w:color w:val="auto"/>
          <w:u w:val="none"/>
          <w:lang w:val="fr-FR"/>
        </w:rPr>
        <w:t>43.(</w:t>
      </w:r>
      <w:proofErr w:type="gramEnd"/>
      <w:r w:rsidRPr="00A50C50">
        <w:rPr>
          <w:rStyle w:val="Hyperlink"/>
          <w:color w:val="auto"/>
          <w:u w:val="none"/>
          <w:lang w:val="fr-FR"/>
        </w:rPr>
        <w:t>0)50.486-2267</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M : +</w:t>
      </w:r>
      <w:proofErr w:type="gramStart"/>
      <w:r w:rsidRPr="00A50C50">
        <w:rPr>
          <w:rStyle w:val="Hyperlink"/>
          <w:color w:val="auto"/>
          <w:u w:val="none"/>
          <w:lang w:val="fr-FR"/>
        </w:rPr>
        <w:t>43.(</w:t>
      </w:r>
      <w:proofErr w:type="gramEnd"/>
      <w:r w:rsidRPr="00A50C50">
        <w:rPr>
          <w:rStyle w:val="Hyperlink"/>
          <w:color w:val="auto"/>
          <w:u w:val="none"/>
          <w:lang w:val="fr-FR"/>
        </w:rPr>
        <w:t>0)664.88459713</w:t>
      </w:r>
    </w:p>
    <w:p w:rsidR="00BC7952" w:rsidRPr="00A50C50" w:rsidRDefault="00BC7952" w:rsidP="00BC7952">
      <w:pPr>
        <w:spacing w:line="240" w:lineRule="auto"/>
        <w:ind w:left="0" w:right="1693"/>
        <w:rPr>
          <w:lang w:val="fr-FR"/>
        </w:rPr>
      </w:pPr>
      <w:r w:rsidRPr="00A50C50">
        <w:rPr>
          <w:rStyle w:val="Hyperlink"/>
          <w:color w:val="auto"/>
          <w:u w:val="none"/>
          <w:lang w:val="fr-FR"/>
        </w:rPr>
        <w:t>alexander.tahedl@tgw-group.com</w:t>
      </w:r>
    </w:p>
    <w:p w:rsidR="00BC7952" w:rsidRPr="00A50C50" w:rsidRDefault="00BC7952" w:rsidP="00BC7952">
      <w:pPr>
        <w:spacing w:line="240" w:lineRule="auto"/>
        <w:ind w:left="0" w:right="1693"/>
        <w:rPr>
          <w:rStyle w:val="Hyperlink"/>
          <w:color w:val="auto"/>
          <w:u w:val="none"/>
          <w:lang w:val="fr-FR"/>
        </w:rPr>
      </w:pPr>
    </w:p>
    <w:p w:rsidR="00F92A0D" w:rsidRPr="00A50C50" w:rsidRDefault="00F92A0D" w:rsidP="00BC7952">
      <w:pPr>
        <w:spacing w:line="240" w:lineRule="auto"/>
        <w:ind w:left="0" w:right="1693"/>
        <w:rPr>
          <w:rStyle w:val="Hyperlink"/>
          <w:color w:val="auto"/>
          <w:u w:val="none"/>
          <w:lang w:val="fr-FR"/>
        </w:rPr>
      </w:pP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Martin Kirchmayr</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Director Marketing &amp; Communications</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T : +</w:t>
      </w:r>
      <w:proofErr w:type="gramStart"/>
      <w:r w:rsidRPr="00A50C50">
        <w:rPr>
          <w:rStyle w:val="Hyperlink"/>
          <w:color w:val="auto"/>
          <w:u w:val="none"/>
          <w:lang w:val="fr-FR"/>
        </w:rPr>
        <w:t>43.(</w:t>
      </w:r>
      <w:proofErr w:type="gramEnd"/>
      <w:r w:rsidRPr="00A50C50">
        <w:rPr>
          <w:rStyle w:val="Hyperlink"/>
          <w:color w:val="auto"/>
          <w:u w:val="none"/>
          <w:lang w:val="fr-FR"/>
        </w:rPr>
        <w:t>0)50.486-1382</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M : +</w:t>
      </w:r>
      <w:proofErr w:type="gramStart"/>
      <w:r w:rsidRPr="00A50C50">
        <w:rPr>
          <w:rStyle w:val="Hyperlink"/>
          <w:color w:val="auto"/>
          <w:u w:val="none"/>
          <w:lang w:val="fr-FR"/>
        </w:rPr>
        <w:t>43.(</w:t>
      </w:r>
      <w:proofErr w:type="gramEnd"/>
      <w:r w:rsidRPr="00A50C50">
        <w:rPr>
          <w:rStyle w:val="Hyperlink"/>
          <w:color w:val="auto"/>
          <w:u w:val="none"/>
          <w:lang w:val="fr-FR"/>
        </w:rPr>
        <w:t>0)664.8187423</w:t>
      </w:r>
    </w:p>
    <w:p w:rsidR="00BC7952" w:rsidRPr="00A50C50" w:rsidRDefault="00BC7952" w:rsidP="00BC7952">
      <w:pPr>
        <w:spacing w:line="240" w:lineRule="auto"/>
        <w:ind w:left="0" w:right="1693"/>
        <w:rPr>
          <w:rStyle w:val="Hyperlink"/>
          <w:color w:val="auto"/>
          <w:u w:val="none"/>
          <w:lang w:val="fr-FR"/>
        </w:rPr>
      </w:pPr>
      <w:r w:rsidRPr="00A50C50">
        <w:rPr>
          <w:rStyle w:val="Hyperlink"/>
          <w:color w:val="auto"/>
          <w:u w:val="none"/>
          <w:lang w:val="fr-FR"/>
        </w:rPr>
        <w:t>martin.kirchmayr@tgw-group.com</w:t>
      </w:r>
    </w:p>
    <w:p w:rsidR="006231AE" w:rsidRPr="00A50C50" w:rsidRDefault="006231AE" w:rsidP="006231AE">
      <w:pPr>
        <w:ind w:left="0" w:right="1693"/>
        <w:rPr>
          <w:lang w:val="fr-FR"/>
        </w:rPr>
      </w:pPr>
    </w:p>
    <w:sectPr w:rsidR="006231AE" w:rsidRPr="00A50C5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24" w:rsidRDefault="00A34524" w:rsidP="00764006">
      <w:pPr>
        <w:spacing w:line="240" w:lineRule="auto"/>
      </w:pPr>
      <w:r>
        <w:separator/>
      </w:r>
    </w:p>
  </w:endnote>
  <w:endnote w:type="continuationSeparator" w:id="0">
    <w:p w:rsidR="00A34524" w:rsidRDefault="00A345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71E88">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71E88">
            <w:rPr>
              <w:noProof/>
              <w:sz w:val="16"/>
              <w:szCs w:val="16"/>
            </w:rPr>
            <w:t>4</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24" w:rsidRDefault="00A34524" w:rsidP="00764006">
      <w:pPr>
        <w:spacing w:line="240" w:lineRule="auto"/>
      </w:pPr>
      <w:r>
        <w:separator/>
      </w:r>
    </w:p>
  </w:footnote>
  <w:footnote w:type="continuationSeparator" w:id="0">
    <w:p w:rsidR="00A34524" w:rsidRDefault="00A345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4F721153"/>
    <w:multiLevelType w:val="hybridMultilevel"/>
    <w:tmpl w:val="3FB09714"/>
    <w:lvl w:ilvl="0" w:tplc="FC9ECB2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9F5451A"/>
    <w:multiLevelType w:val="hybridMultilevel"/>
    <w:tmpl w:val="8CCC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1"/>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8"/>
  </w:num>
  <w:num w:numId="19">
    <w:abstractNumId w:val="10"/>
  </w:num>
  <w:num w:numId="20">
    <w:abstractNumId w:val="22"/>
  </w:num>
  <w:num w:numId="21">
    <w:abstractNumId w:val="13"/>
  </w:num>
  <w:num w:numId="22">
    <w:abstractNumId w:val="15"/>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DD4"/>
    <w:rsid w:val="00002AC7"/>
    <w:rsid w:val="00006ADD"/>
    <w:rsid w:val="00007FC6"/>
    <w:rsid w:val="00010D99"/>
    <w:rsid w:val="00010E97"/>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4F2D"/>
    <w:rsid w:val="00065E58"/>
    <w:rsid w:val="000662F5"/>
    <w:rsid w:val="00066599"/>
    <w:rsid w:val="0006731A"/>
    <w:rsid w:val="00067ABB"/>
    <w:rsid w:val="00071B58"/>
    <w:rsid w:val="0007431B"/>
    <w:rsid w:val="00074502"/>
    <w:rsid w:val="00074923"/>
    <w:rsid w:val="00076C37"/>
    <w:rsid w:val="00081E28"/>
    <w:rsid w:val="00082003"/>
    <w:rsid w:val="0008361B"/>
    <w:rsid w:val="00083EA2"/>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285F"/>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0FFB"/>
    <w:rsid w:val="001744EA"/>
    <w:rsid w:val="00176D8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321"/>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49D5"/>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26C33"/>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B677D"/>
    <w:rsid w:val="002C0149"/>
    <w:rsid w:val="002C0832"/>
    <w:rsid w:val="002C1269"/>
    <w:rsid w:val="002C265D"/>
    <w:rsid w:val="002C36E5"/>
    <w:rsid w:val="002C4112"/>
    <w:rsid w:val="002C652E"/>
    <w:rsid w:val="002C69C9"/>
    <w:rsid w:val="002D1970"/>
    <w:rsid w:val="002D44D3"/>
    <w:rsid w:val="002D6158"/>
    <w:rsid w:val="002D6CDB"/>
    <w:rsid w:val="002E022D"/>
    <w:rsid w:val="002E0554"/>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28BA"/>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06C2"/>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4D5"/>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07C"/>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4F0D"/>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29E"/>
    <w:rsid w:val="00436969"/>
    <w:rsid w:val="00437BBE"/>
    <w:rsid w:val="00437C38"/>
    <w:rsid w:val="00440D4C"/>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4C2B"/>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9C"/>
    <w:rsid w:val="004B27D8"/>
    <w:rsid w:val="004B3F79"/>
    <w:rsid w:val="004B4A07"/>
    <w:rsid w:val="004B6E67"/>
    <w:rsid w:val="004C0253"/>
    <w:rsid w:val="004C0508"/>
    <w:rsid w:val="004C06A9"/>
    <w:rsid w:val="004C07E3"/>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3EAB"/>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47C6"/>
    <w:rsid w:val="00585363"/>
    <w:rsid w:val="0058631D"/>
    <w:rsid w:val="00586667"/>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A593A"/>
    <w:rsid w:val="005B0C02"/>
    <w:rsid w:val="005B3AB0"/>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1D57"/>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27D9A"/>
    <w:rsid w:val="0063006D"/>
    <w:rsid w:val="00630AA6"/>
    <w:rsid w:val="00632088"/>
    <w:rsid w:val="00632BC2"/>
    <w:rsid w:val="00640107"/>
    <w:rsid w:val="006437FF"/>
    <w:rsid w:val="00643CDE"/>
    <w:rsid w:val="00644F94"/>
    <w:rsid w:val="006474AB"/>
    <w:rsid w:val="00650DF4"/>
    <w:rsid w:val="006525C3"/>
    <w:rsid w:val="0065261F"/>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8A6"/>
    <w:rsid w:val="006D5C2C"/>
    <w:rsid w:val="006D68B2"/>
    <w:rsid w:val="006D7ABD"/>
    <w:rsid w:val="006E0235"/>
    <w:rsid w:val="006E10F6"/>
    <w:rsid w:val="006E1E19"/>
    <w:rsid w:val="006E24DB"/>
    <w:rsid w:val="006E2767"/>
    <w:rsid w:val="006E30D5"/>
    <w:rsid w:val="006E35F2"/>
    <w:rsid w:val="006E373B"/>
    <w:rsid w:val="006E4391"/>
    <w:rsid w:val="006E4C09"/>
    <w:rsid w:val="006E5522"/>
    <w:rsid w:val="006E6264"/>
    <w:rsid w:val="006F0740"/>
    <w:rsid w:val="006F1E31"/>
    <w:rsid w:val="006F25CF"/>
    <w:rsid w:val="006F26BE"/>
    <w:rsid w:val="006F4261"/>
    <w:rsid w:val="006F4F34"/>
    <w:rsid w:val="006F5483"/>
    <w:rsid w:val="006F6E1B"/>
    <w:rsid w:val="007001D0"/>
    <w:rsid w:val="007003DA"/>
    <w:rsid w:val="00701012"/>
    <w:rsid w:val="007013F6"/>
    <w:rsid w:val="0070400C"/>
    <w:rsid w:val="00704319"/>
    <w:rsid w:val="0070488D"/>
    <w:rsid w:val="00704BFD"/>
    <w:rsid w:val="0070509E"/>
    <w:rsid w:val="00705524"/>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06C"/>
    <w:rsid w:val="0072143A"/>
    <w:rsid w:val="00722C1F"/>
    <w:rsid w:val="0072360D"/>
    <w:rsid w:val="00725071"/>
    <w:rsid w:val="00725ABE"/>
    <w:rsid w:val="00726174"/>
    <w:rsid w:val="007303A5"/>
    <w:rsid w:val="00730938"/>
    <w:rsid w:val="0073176C"/>
    <w:rsid w:val="007317B6"/>
    <w:rsid w:val="00731E59"/>
    <w:rsid w:val="0073241B"/>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A80"/>
    <w:rsid w:val="00805172"/>
    <w:rsid w:val="00805546"/>
    <w:rsid w:val="00806BE4"/>
    <w:rsid w:val="00806F99"/>
    <w:rsid w:val="00807724"/>
    <w:rsid w:val="00810B98"/>
    <w:rsid w:val="00811B3B"/>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5BE6"/>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5C79"/>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5F44"/>
    <w:rsid w:val="008A6166"/>
    <w:rsid w:val="008A7772"/>
    <w:rsid w:val="008A7D50"/>
    <w:rsid w:val="008B0223"/>
    <w:rsid w:val="008B0FC3"/>
    <w:rsid w:val="008B22EE"/>
    <w:rsid w:val="008B465D"/>
    <w:rsid w:val="008B6062"/>
    <w:rsid w:val="008B727F"/>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35B"/>
    <w:rsid w:val="008F5AAD"/>
    <w:rsid w:val="008F622D"/>
    <w:rsid w:val="008F6DA7"/>
    <w:rsid w:val="008F7CB0"/>
    <w:rsid w:val="009002FD"/>
    <w:rsid w:val="009006FC"/>
    <w:rsid w:val="009010FE"/>
    <w:rsid w:val="00901B0B"/>
    <w:rsid w:val="00902B95"/>
    <w:rsid w:val="00903DEA"/>
    <w:rsid w:val="0090585A"/>
    <w:rsid w:val="0090589F"/>
    <w:rsid w:val="0090593C"/>
    <w:rsid w:val="00906A1B"/>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0E10"/>
    <w:rsid w:val="009321FE"/>
    <w:rsid w:val="00934279"/>
    <w:rsid w:val="009359D3"/>
    <w:rsid w:val="009428A3"/>
    <w:rsid w:val="00942EDF"/>
    <w:rsid w:val="009440B4"/>
    <w:rsid w:val="0094458E"/>
    <w:rsid w:val="00946640"/>
    <w:rsid w:val="00950845"/>
    <w:rsid w:val="009560B9"/>
    <w:rsid w:val="009572CC"/>
    <w:rsid w:val="009600F6"/>
    <w:rsid w:val="00960EC7"/>
    <w:rsid w:val="00963BEA"/>
    <w:rsid w:val="00965E18"/>
    <w:rsid w:val="00966AAB"/>
    <w:rsid w:val="00966D14"/>
    <w:rsid w:val="00970363"/>
    <w:rsid w:val="00970B2A"/>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422E"/>
    <w:rsid w:val="009F6B98"/>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13E2"/>
    <w:rsid w:val="00A21F78"/>
    <w:rsid w:val="00A22863"/>
    <w:rsid w:val="00A22B75"/>
    <w:rsid w:val="00A2351E"/>
    <w:rsid w:val="00A24347"/>
    <w:rsid w:val="00A25AFA"/>
    <w:rsid w:val="00A26CBA"/>
    <w:rsid w:val="00A26E3F"/>
    <w:rsid w:val="00A31862"/>
    <w:rsid w:val="00A31869"/>
    <w:rsid w:val="00A33947"/>
    <w:rsid w:val="00A34171"/>
    <w:rsid w:val="00A34524"/>
    <w:rsid w:val="00A345ED"/>
    <w:rsid w:val="00A353E9"/>
    <w:rsid w:val="00A35831"/>
    <w:rsid w:val="00A41819"/>
    <w:rsid w:val="00A41B0C"/>
    <w:rsid w:val="00A45876"/>
    <w:rsid w:val="00A462E1"/>
    <w:rsid w:val="00A471EA"/>
    <w:rsid w:val="00A47D95"/>
    <w:rsid w:val="00A47EE4"/>
    <w:rsid w:val="00A50C50"/>
    <w:rsid w:val="00A510C0"/>
    <w:rsid w:val="00A51AB9"/>
    <w:rsid w:val="00A52BBB"/>
    <w:rsid w:val="00A5363C"/>
    <w:rsid w:val="00A53974"/>
    <w:rsid w:val="00A54AF7"/>
    <w:rsid w:val="00A54BCC"/>
    <w:rsid w:val="00A575D3"/>
    <w:rsid w:val="00A57C5C"/>
    <w:rsid w:val="00A62FED"/>
    <w:rsid w:val="00A63795"/>
    <w:rsid w:val="00A637DD"/>
    <w:rsid w:val="00A66BBD"/>
    <w:rsid w:val="00A67260"/>
    <w:rsid w:val="00A67E5B"/>
    <w:rsid w:val="00A701B1"/>
    <w:rsid w:val="00A70572"/>
    <w:rsid w:val="00A70C54"/>
    <w:rsid w:val="00A714FD"/>
    <w:rsid w:val="00A71E88"/>
    <w:rsid w:val="00A72304"/>
    <w:rsid w:val="00A7291B"/>
    <w:rsid w:val="00A74806"/>
    <w:rsid w:val="00A7582B"/>
    <w:rsid w:val="00A770F5"/>
    <w:rsid w:val="00A805AF"/>
    <w:rsid w:val="00A80BAE"/>
    <w:rsid w:val="00A81907"/>
    <w:rsid w:val="00A82014"/>
    <w:rsid w:val="00A829AB"/>
    <w:rsid w:val="00A8419E"/>
    <w:rsid w:val="00A8601C"/>
    <w:rsid w:val="00A865BA"/>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563"/>
    <w:rsid w:val="00AC49AD"/>
    <w:rsid w:val="00AC55E3"/>
    <w:rsid w:val="00AC659A"/>
    <w:rsid w:val="00AD0132"/>
    <w:rsid w:val="00AD0287"/>
    <w:rsid w:val="00AD14B2"/>
    <w:rsid w:val="00AD2D02"/>
    <w:rsid w:val="00AD3796"/>
    <w:rsid w:val="00AD4207"/>
    <w:rsid w:val="00AE0990"/>
    <w:rsid w:val="00AE12FE"/>
    <w:rsid w:val="00AE188F"/>
    <w:rsid w:val="00AE1A2E"/>
    <w:rsid w:val="00AE2387"/>
    <w:rsid w:val="00AE2EC3"/>
    <w:rsid w:val="00AE52AF"/>
    <w:rsid w:val="00AE53DA"/>
    <w:rsid w:val="00AE55FE"/>
    <w:rsid w:val="00AE5DA0"/>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411"/>
    <w:rsid w:val="00B16BF6"/>
    <w:rsid w:val="00B17BCA"/>
    <w:rsid w:val="00B22613"/>
    <w:rsid w:val="00B23A96"/>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4B07"/>
    <w:rsid w:val="00B4639C"/>
    <w:rsid w:val="00B46609"/>
    <w:rsid w:val="00B46C58"/>
    <w:rsid w:val="00B473A7"/>
    <w:rsid w:val="00B4759A"/>
    <w:rsid w:val="00B47E81"/>
    <w:rsid w:val="00B503CE"/>
    <w:rsid w:val="00B52CF1"/>
    <w:rsid w:val="00B52DA9"/>
    <w:rsid w:val="00B53862"/>
    <w:rsid w:val="00B53CAE"/>
    <w:rsid w:val="00B53E30"/>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A793F"/>
    <w:rsid w:val="00BB3138"/>
    <w:rsid w:val="00BB385B"/>
    <w:rsid w:val="00BB5C8B"/>
    <w:rsid w:val="00BB6231"/>
    <w:rsid w:val="00BB73BD"/>
    <w:rsid w:val="00BB7BB3"/>
    <w:rsid w:val="00BC0089"/>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7AD9"/>
    <w:rsid w:val="00C31626"/>
    <w:rsid w:val="00C31E1B"/>
    <w:rsid w:val="00C32C8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BD8"/>
    <w:rsid w:val="00C74C65"/>
    <w:rsid w:val="00C76AA4"/>
    <w:rsid w:val="00C83128"/>
    <w:rsid w:val="00C834F9"/>
    <w:rsid w:val="00C83DCC"/>
    <w:rsid w:val="00C843AC"/>
    <w:rsid w:val="00C84540"/>
    <w:rsid w:val="00C85286"/>
    <w:rsid w:val="00C852EB"/>
    <w:rsid w:val="00C85531"/>
    <w:rsid w:val="00C8642A"/>
    <w:rsid w:val="00C8748C"/>
    <w:rsid w:val="00C874A0"/>
    <w:rsid w:val="00C87F97"/>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3BCE"/>
    <w:rsid w:val="00CE3E22"/>
    <w:rsid w:val="00CE5C9C"/>
    <w:rsid w:val="00CE6707"/>
    <w:rsid w:val="00CE7945"/>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4BE0"/>
    <w:rsid w:val="00D16610"/>
    <w:rsid w:val="00D17062"/>
    <w:rsid w:val="00D17C0F"/>
    <w:rsid w:val="00D205EF"/>
    <w:rsid w:val="00D20C3F"/>
    <w:rsid w:val="00D21BE3"/>
    <w:rsid w:val="00D21DC4"/>
    <w:rsid w:val="00D22B90"/>
    <w:rsid w:val="00D25685"/>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3C1E"/>
    <w:rsid w:val="00D64AB3"/>
    <w:rsid w:val="00D65CBF"/>
    <w:rsid w:val="00D66A7D"/>
    <w:rsid w:val="00D66FB8"/>
    <w:rsid w:val="00D67D1B"/>
    <w:rsid w:val="00D67FCF"/>
    <w:rsid w:val="00D713C3"/>
    <w:rsid w:val="00D71E67"/>
    <w:rsid w:val="00D72067"/>
    <w:rsid w:val="00D72569"/>
    <w:rsid w:val="00D740E2"/>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87442"/>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3783"/>
    <w:rsid w:val="00E17AAB"/>
    <w:rsid w:val="00E204EE"/>
    <w:rsid w:val="00E21B14"/>
    <w:rsid w:val="00E21D57"/>
    <w:rsid w:val="00E24CFB"/>
    <w:rsid w:val="00E26207"/>
    <w:rsid w:val="00E2631D"/>
    <w:rsid w:val="00E265EE"/>
    <w:rsid w:val="00E26E2E"/>
    <w:rsid w:val="00E30496"/>
    <w:rsid w:val="00E325B6"/>
    <w:rsid w:val="00E3280C"/>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19C5"/>
    <w:rsid w:val="00E8222F"/>
    <w:rsid w:val="00E8292C"/>
    <w:rsid w:val="00E831F3"/>
    <w:rsid w:val="00E835B4"/>
    <w:rsid w:val="00E8363C"/>
    <w:rsid w:val="00E843E4"/>
    <w:rsid w:val="00E8471F"/>
    <w:rsid w:val="00E8514D"/>
    <w:rsid w:val="00E852FE"/>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1B5A"/>
    <w:rsid w:val="00EB1D53"/>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13FD"/>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16D"/>
    <w:rsid w:val="00F46904"/>
    <w:rsid w:val="00F50672"/>
    <w:rsid w:val="00F51C70"/>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419A"/>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4F62"/>
    <w:rsid w:val="00FA5A88"/>
    <w:rsid w:val="00FA6051"/>
    <w:rsid w:val="00FA66ED"/>
    <w:rsid w:val="00FA6D65"/>
    <w:rsid w:val="00FB0EAC"/>
    <w:rsid w:val="00FB1590"/>
    <w:rsid w:val="00FB171C"/>
    <w:rsid w:val="00FB192A"/>
    <w:rsid w:val="00FB1A4E"/>
    <w:rsid w:val="00FB29AE"/>
    <w:rsid w:val="00FB3EBD"/>
    <w:rsid w:val="00FB530E"/>
    <w:rsid w:val="00FB76E9"/>
    <w:rsid w:val="00FB7C90"/>
    <w:rsid w:val="00FC12B9"/>
    <w:rsid w:val="00FC1FAC"/>
    <w:rsid w:val="00FC2065"/>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A02EF2"/>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083EA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2f12fc34-f1dc-44f0-9e2f-50336bd15f77"/>
    <ds:schemaRef ds:uri="http://purl.org/dc/terms/"/>
    <ds:schemaRef ds:uri="http://schemas.microsoft.com/office/2006/documentManagement/types"/>
    <ds:schemaRef ds:uri="http://purl.org/dc/dcmitype/"/>
    <ds:schemaRef ds:uri="http://schemas.microsoft.com/office/infopath/2007/PartnerControls"/>
    <ds:schemaRef ds:uri="be192a78-5895-402e-a1c0-bf53bcda2ea2"/>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D075AA-6388-43BC-A7E5-6F22DDD4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7980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Recette rénovation parfaite pour Almi</vt:lpstr>
    </vt:vector>
  </TitlesOfParts>
  <Company>Klug</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Recette rénovation parfaite pour Almi</dc:title>
  <dc:subject/>
  <dc:creator>Tahedl Alexander</dc:creator>
  <cp:keywords>Recette rénovation parfaite pour Almi</cp:keywords>
  <dc:description/>
  <cp:lastModifiedBy>Tahedl Alexander</cp:lastModifiedBy>
  <cp:revision>66</cp:revision>
  <cp:lastPrinted>2022-05-10T12:38:00Z</cp:lastPrinted>
  <dcterms:created xsi:type="dcterms:W3CDTF">2021-04-14T17:10:00Z</dcterms:created>
  <dcterms:modified xsi:type="dcterms:W3CDTF">2022-09-20T15:14:00Z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