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430" w:rsidRPr="00D56BE6" w:rsidRDefault="00285430" w:rsidP="00285430">
      <w:pPr>
        <w:rPr>
          <w:rFonts w:cs="Arial"/>
          <w:b/>
          <w:sz w:val="28"/>
          <w:szCs w:val="28"/>
          <w:lang w:val="fr-FR"/>
        </w:rPr>
      </w:pPr>
      <w:r w:rsidRPr="00D56BE6">
        <w:rPr>
          <w:rFonts w:cs="Arial"/>
          <w:b/>
          <w:sz w:val="28"/>
          <w:szCs w:val="28"/>
          <w:lang w:val="fr-FR"/>
        </w:rPr>
        <w:t>Mustang E+</w:t>
      </w:r>
      <w:r w:rsidR="00146F55">
        <w:rPr>
          <w:rFonts w:cs="Arial"/>
          <w:b/>
          <w:sz w:val="28"/>
          <w:szCs w:val="28"/>
          <w:lang w:val="fr-FR"/>
        </w:rPr>
        <w:t xml:space="preserve"> de TGW</w:t>
      </w:r>
    </w:p>
    <w:p w:rsidR="00285430" w:rsidRPr="00D56BE6" w:rsidRDefault="00146F55" w:rsidP="00285430">
      <w:pPr>
        <w:rPr>
          <w:rFonts w:cs="Arial"/>
          <w:b/>
          <w:sz w:val="28"/>
          <w:szCs w:val="28"/>
          <w:lang w:val="fr-FR"/>
        </w:rPr>
      </w:pPr>
      <w:r>
        <w:rPr>
          <w:rFonts w:cs="Arial"/>
          <w:b/>
          <w:sz w:val="28"/>
          <w:szCs w:val="28"/>
          <w:lang w:val="fr-FR"/>
        </w:rPr>
        <w:t xml:space="preserve">Transtockeur </w:t>
      </w:r>
      <w:r w:rsidR="00EA09CD" w:rsidRPr="007B1113">
        <w:rPr>
          <w:rFonts w:cs="Arial"/>
          <w:b/>
          <w:sz w:val="28"/>
          <w:szCs w:val="28"/>
          <w:lang w:val="fr-FR"/>
        </w:rPr>
        <w:t xml:space="preserve">bacs et cartons </w:t>
      </w:r>
      <w:r w:rsidR="00285430" w:rsidRPr="00D56BE6">
        <w:rPr>
          <w:rFonts w:cs="Arial"/>
          <w:b/>
          <w:sz w:val="28"/>
          <w:szCs w:val="28"/>
          <w:lang w:val="fr-FR"/>
        </w:rPr>
        <w:t>de dernière génération</w:t>
      </w:r>
      <w:r w:rsidR="00E14169">
        <w:rPr>
          <w:rFonts w:cs="Arial"/>
          <w:b/>
          <w:sz w:val="28"/>
          <w:szCs w:val="28"/>
          <w:lang w:val="fr-FR"/>
        </w:rPr>
        <w:t xml:space="preserve"> </w:t>
      </w:r>
      <w:r w:rsidR="00E14169" w:rsidRPr="00E14169">
        <w:rPr>
          <w:rFonts w:cs="Arial"/>
          <w:b/>
          <w:sz w:val="28"/>
          <w:szCs w:val="28"/>
          <w:lang w:val="fr-FR"/>
        </w:rPr>
        <w:t>jusqu'à 18 mètres</w:t>
      </w:r>
    </w:p>
    <w:p w:rsidR="00285430" w:rsidRPr="00D56BE6" w:rsidRDefault="00285430" w:rsidP="00285430">
      <w:pPr>
        <w:rPr>
          <w:rFonts w:cs="Arial"/>
          <w:b/>
          <w:szCs w:val="20"/>
          <w:lang w:val="fr-FR"/>
        </w:rPr>
      </w:pPr>
    </w:p>
    <w:p w:rsidR="00285430" w:rsidRPr="00D56BE6" w:rsidRDefault="00285430" w:rsidP="00D56BE6">
      <w:pPr>
        <w:pStyle w:val="Paragraphedeliste"/>
        <w:numPr>
          <w:ilvl w:val="0"/>
          <w:numId w:val="28"/>
        </w:numPr>
        <w:rPr>
          <w:rFonts w:cs="Arial"/>
          <w:b/>
          <w:sz w:val="24"/>
          <w:szCs w:val="24"/>
          <w:lang w:val="fr-FR"/>
        </w:rPr>
      </w:pPr>
      <w:r w:rsidRPr="00D56BE6">
        <w:rPr>
          <w:rFonts w:cs="Arial"/>
          <w:b/>
          <w:sz w:val="24"/>
          <w:szCs w:val="24"/>
          <w:lang w:val="fr-FR"/>
        </w:rPr>
        <w:t>Puissance et dynamique maximales</w:t>
      </w:r>
    </w:p>
    <w:p w:rsidR="00285430" w:rsidRPr="00D56BE6" w:rsidRDefault="00285430" w:rsidP="00D56BE6">
      <w:pPr>
        <w:pStyle w:val="Paragraphedeliste"/>
        <w:numPr>
          <w:ilvl w:val="0"/>
          <w:numId w:val="28"/>
        </w:numPr>
        <w:rPr>
          <w:rFonts w:cs="Arial"/>
          <w:b/>
          <w:sz w:val="24"/>
          <w:szCs w:val="24"/>
          <w:lang w:val="fr-FR"/>
        </w:rPr>
      </w:pPr>
      <w:r w:rsidRPr="00D56BE6">
        <w:rPr>
          <w:rFonts w:cs="Arial"/>
          <w:b/>
          <w:sz w:val="24"/>
          <w:szCs w:val="24"/>
          <w:lang w:val="fr-FR"/>
        </w:rPr>
        <w:t xml:space="preserve">Utilisation optimisée des emplacements de stockage, grâce à une conception compacte et optimisée </w:t>
      </w:r>
      <w:r w:rsidR="00146F55">
        <w:rPr>
          <w:rFonts w:cs="Arial"/>
          <w:b/>
          <w:sz w:val="24"/>
          <w:szCs w:val="24"/>
          <w:lang w:val="fr-FR"/>
        </w:rPr>
        <w:t>du</w:t>
      </w:r>
      <w:r w:rsidRPr="00D56BE6">
        <w:rPr>
          <w:rFonts w:cs="Arial"/>
          <w:b/>
          <w:sz w:val="24"/>
          <w:szCs w:val="24"/>
          <w:lang w:val="fr-FR"/>
        </w:rPr>
        <w:t xml:space="preserve"> poids</w:t>
      </w:r>
    </w:p>
    <w:p w:rsidR="00285430" w:rsidRPr="00D56BE6" w:rsidRDefault="00285430" w:rsidP="00D56BE6">
      <w:pPr>
        <w:pStyle w:val="Paragraphedeliste"/>
        <w:numPr>
          <w:ilvl w:val="0"/>
          <w:numId w:val="28"/>
        </w:numPr>
        <w:rPr>
          <w:rFonts w:cs="Arial"/>
          <w:b/>
          <w:sz w:val="24"/>
          <w:szCs w:val="24"/>
          <w:lang w:val="fr-FR"/>
        </w:rPr>
      </w:pPr>
      <w:r w:rsidRPr="00D56BE6">
        <w:rPr>
          <w:rFonts w:cs="Arial"/>
          <w:b/>
          <w:sz w:val="24"/>
          <w:szCs w:val="24"/>
          <w:lang w:val="fr-FR"/>
        </w:rPr>
        <w:t xml:space="preserve">L'intelligence dans le </w:t>
      </w:r>
      <w:r w:rsidR="00146F55">
        <w:rPr>
          <w:rFonts w:cs="Arial"/>
          <w:b/>
          <w:sz w:val="24"/>
          <w:szCs w:val="24"/>
          <w:lang w:val="fr-FR"/>
        </w:rPr>
        <w:t>pilotage</w:t>
      </w:r>
      <w:r w:rsidRPr="00D56BE6">
        <w:rPr>
          <w:rFonts w:cs="Arial"/>
          <w:b/>
          <w:sz w:val="24"/>
          <w:szCs w:val="24"/>
          <w:lang w:val="fr-FR"/>
        </w:rPr>
        <w:t xml:space="preserve"> et la conception</w:t>
      </w:r>
    </w:p>
    <w:p w:rsidR="00285430" w:rsidRPr="00D56BE6" w:rsidRDefault="00285430" w:rsidP="00285430">
      <w:pPr>
        <w:rPr>
          <w:rFonts w:cs="Arial"/>
          <w:b/>
          <w:szCs w:val="20"/>
          <w:lang w:val="fr-FR"/>
        </w:rPr>
      </w:pPr>
    </w:p>
    <w:p w:rsidR="00285430" w:rsidRPr="005366F4" w:rsidRDefault="00285430" w:rsidP="00285430">
      <w:pPr>
        <w:rPr>
          <w:rFonts w:cs="Arial"/>
          <w:b/>
          <w:szCs w:val="20"/>
          <w:lang w:val="fr-FR"/>
        </w:rPr>
      </w:pPr>
      <w:r w:rsidRPr="005366F4">
        <w:rPr>
          <w:rFonts w:cs="Arial"/>
          <w:b/>
          <w:szCs w:val="20"/>
          <w:lang w:val="fr-FR"/>
        </w:rPr>
        <w:t xml:space="preserve">Plus de 8 000 </w:t>
      </w:r>
      <w:r w:rsidR="00E14169" w:rsidRPr="005366F4">
        <w:rPr>
          <w:rFonts w:cs="Arial"/>
          <w:b/>
          <w:szCs w:val="20"/>
          <w:lang w:val="fr-FR"/>
        </w:rPr>
        <w:t>transtockeurs TGW sont utilisé</w:t>
      </w:r>
      <w:r w:rsidRPr="005366F4">
        <w:rPr>
          <w:rFonts w:cs="Arial"/>
          <w:b/>
          <w:szCs w:val="20"/>
          <w:lang w:val="fr-FR"/>
        </w:rPr>
        <w:t xml:space="preserve">s chaque jour par </w:t>
      </w:r>
      <w:r w:rsidR="00EA09CD" w:rsidRPr="005366F4">
        <w:rPr>
          <w:rFonts w:cs="Arial"/>
          <w:b/>
          <w:szCs w:val="20"/>
          <w:lang w:val="fr-FR"/>
        </w:rPr>
        <w:t xml:space="preserve">nos </w:t>
      </w:r>
      <w:r w:rsidRPr="005366F4">
        <w:rPr>
          <w:rFonts w:cs="Arial"/>
          <w:b/>
          <w:szCs w:val="20"/>
          <w:lang w:val="fr-FR"/>
        </w:rPr>
        <w:t xml:space="preserve">clients </w:t>
      </w:r>
      <w:r w:rsidR="00EA09CD" w:rsidRPr="005366F4">
        <w:rPr>
          <w:rFonts w:cs="Arial"/>
          <w:b/>
          <w:szCs w:val="20"/>
          <w:lang w:val="fr-FR"/>
        </w:rPr>
        <w:t xml:space="preserve">dans le </w:t>
      </w:r>
      <w:r w:rsidRPr="005366F4">
        <w:rPr>
          <w:rFonts w:cs="Arial"/>
          <w:b/>
          <w:szCs w:val="20"/>
          <w:lang w:val="fr-FR"/>
        </w:rPr>
        <w:t xml:space="preserve">monde entier </w:t>
      </w:r>
      <w:r w:rsidR="00E14169" w:rsidRPr="005366F4">
        <w:rPr>
          <w:rFonts w:cs="Arial"/>
          <w:b/>
          <w:szCs w:val="20"/>
          <w:lang w:val="fr-FR"/>
        </w:rPr>
        <w:t xml:space="preserve">dans le cadre de divers </w:t>
      </w:r>
      <w:r w:rsidRPr="005366F4">
        <w:rPr>
          <w:rFonts w:cs="Arial"/>
          <w:b/>
          <w:szCs w:val="20"/>
          <w:lang w:val="fr-FR"/>
        </w:rPr>
        <w:t>système</w:t>
      </w:r>
      <w:r w:rsidR="00E14169" w:rsidRPr="005366F4">
        <w:rPr>
          <w:rFonts w:cs="Arial"/>
          <w:b/>
          <w:szCs w:val="20"/>
          <w:lang w:val="fr-FR"/>
        </w:rPr>
        <w:t>s intralogistiques</w:t>
      </w:r>
      <w:r w:rsidRPr="005366F4">
        <w:rPr>
          <w:rFonts w:cs="Arial"/>
          <w:b/>
          <w:szCs w:val="20"/>
          <w:lang w:val="fr-FR"/>
        </w:rPr>
        <w:t xml:space="preserve">. Ils stockent et </w:t>
      </w:r>
      <w:r w:rsidR="005366F4">
        <w:rPr>
          <w:rFonts w:cs="Arial"/>
          <w:b/>
          <w:szCs w:val="20"/>
          <w:lang w:val="fr-FR"/>
        </w:rPr>
        <w:t>manipulent</w:t>
      </w:r>
      <w:r w:rsidRPr="005366F4">
        <w:rPr>
          <w:rFonts w:cs="Arial"/>
          <w:b/>
          <w:szCs w:val="20"/>
          <w:lang w:val="fr-FR"/>
        </w:rPr>
        <w:t xml:space="preserve"> des millions de cartons et de bacs - de manière fiable, sûre et performante. L</w:t>
      </w:r>
      <w:r w:rsidR="00146F55" w:rsidRPr="005366F4">
        <w:rPr>
          <w:rFonts w:cs="Arial"/>
          <w:b/>
          <w:szCs w:val="20"/>
          <w:lang w:val="fr-FR"/>
        </w:rPr>
        <w:t>e transtockeur</w:t>
      </w:r>
      <w:r w:rsidRPr="005366F4">
        <w:rPr>
          <w:rFonts w:cs="Arial"/>
          <w:b/>
          <w:szCs w:val="20"/>
          <w:lang w:val="fr-FR"/>
        </w:rPr>
        <w:t xml:space="preserve"> Mustang E+ est la </w:t>
      </w:r>
      <w:r w:rsidR="00E14169" w:rsidRPr="005366F4">
        <w:rPr>
          <w:rFonts w:cs="Arial"/>
          <w:b/>
          <w:szCs w:val="20"/>
          <w:lang w:val="fr-FR"/>
        </w:rPr>
        <w:t>toute récente</w:t>
      </w:r>
      <w:r w:rsidRPr="005366F4">
        <w:rPr>
          <w:rFonts w:cs="Arial"/>
          <w:b/>
          <w:szCs w:val="20"/>
          <w:lang w:val="fr-FR"/>
        </w:rPr>
        <w:t xml:space="preserve"> étape du développement que TGW, leader sur le marché des mini</w:t>
      </w:r>
      <w:r w:rsidR="00E14169" w:rsidRPr="005366F4">
        <w:rPr>
          <w:rFonts w:cs="Arial"/>
          <w:b/>
          <w:szCs w:val="20"/>
          <w:lang w:val="fr-FR"/>
        </w:rPr>
        <w:t>loads</w:t>
      </w:r>
      <w:r w:rsidRPr="005366F4">
        <w:rPr>
          <w:rFonts w:cs="Arial"/>
          <w:b/>
          <w:szCs w:val="20"/>
          <w:lang w:val="fr-FR"/>
        </w:rPr>
        <w:t xml:space="preserve">, présentera en novembre 2019. L'innovation allie des performances élevées en </w:t>
      </w:r>
      <w:r w:rsidR="00E14169" w:rsidRPr="005366F4">
        <w:rPr>
          <w:rFonts w:cs="Arial"/>
          <w:b/>
          <w:szCs w:val="20"/>
          <w:lang w:val="fr-FR"/>
        </w:rPr>
        <w:t>termes</w:t>
      </w:r>
      <w:r w:rsidRPr="005366F4">
        <w:rPr>
          <w:rFonts w:cs="Arial"/>
          <w:b/>
          <w:szCs w:val="20"/>
          <w:lang w:val="fr-FR"/>
        </w:rPr>
        <w:t xml:space="preserve"> de déplacement et de levage ainsi que des dimensions </w:t>
      </w:r>
      <w:r w:rsidR="005366F4">
        <w:rPr>
          <w:rFonts w:cs="Arial"/>
          <w:b/>
          <w:szCs w:val="20"/>
          <w:lang w:val="fr-FR"/>
        </w:rPr>
        <w:t>optimisées</w:t>
      </w:r>
      <w:r w:rsidRPr="005366F4">
        <w:rPr>
          <w:rFonts w:cs="Arial"/>
          <w:b/>
          <w:szCs w:val="20"/>
          <w:lang w:val="fr-FR"/>
        </w:rPr>
        <w:t xml:space="preserve"> </w:t>
      </w:r>
      <w:r w:rsidR="00146F55" w:rsidRPr="005366F4">
        <w:rPr>
          <w:rFonts w:cs="Arial"/>
          <w:b/>
          <w:szCs w:val="20"/>
          <w:lang w:val="fr-FR"/>
        </w:rPr>
        <w:t xml:space="preserve">combinées </w:t>
      </w:r>
      <w:r w:rsidRPr="005366F4">
        <w:rPr>
          <w:rFonts w:cs="Arial"/>
          <w:b/>
          <w:szCs w:val="20"/>
          <w:lang w:val="fr-FR"/>
        </w:rPr>
        <w:t>à l'intelligence d</w:t>
      </w:r>
      <w:r w:rsidR="00146F55" w:rsidRPr="005366F4">
        <w:rPr>
          <w:rFonts w:cs="Arial"/>
          <w:b/>
          <w:szCs w:val="20"/>
          <w:lang w:val="fr-FR"/>
        </w:rPr>
        <w:t>u</w:t>
      </w:r>
      <w:r w:rsidRPr="005366F4">
        <w:rPr>
          <w:rFonts w:cs="Arial"/>
          <w:b/>
          <w:szCs w:val="20"/>
          <w:lang w:val="fr-FR"/>
        </w:rPr>
        <w:t xml:space="preserve"> </w:t>
      </w:r>
      <w:r w:rsidR="00146F55" w:rsidRPr="005366F4">
        <w:rPr>
          <w:rFonts w:cs="Arial"/>
          <w:b/>
          <w:szCs w:val="20"/>
          <w:lang w:val="fr-FR"/>
        </w:rPr>
        <w:t>pilotage</w:t>
      </w:r>
      <w:r w:rsidRPr="005366F4">
        <w:rPr>
          <w:rFonts w:cs="Arial"/>
          <w:b/>
          <w:szCs w:val="20"/>
          <w:lang w:val="fr-FR"/>
        </w:rPr>
        <w:t xml:space="preserve"> et de </w:t>
      </w:r>
      <w:r w:rsidR="00B634B1" w:rsidRPr="005366F4">
        <w:rPr>
          <w:rFonts w:cs="Arial"/>
          <w:b/>
          <w:szCs w:val="20"/>
          <w:lang w:val="fr-FR"/>
        </w:rPr>
        <w:t xml:space="preserve">la </w:t>
      </w:r>
      <w:r w:rsidRPr="005366F4">
        <w:rPr>
          <w:rFonts w:cs="Arial"/>
          <w:b/>
          <w:szCs w:val="20"/>
          <w:lang w:val="fr-FR"/>
        </w:rPr>
        <w:t>conception.</w:t>
      </w:r>
    </w:p>
    <w:p w:rsidR="00285430" w:rsidRPr="00D56BE6" w:rsidRDefault="00285430" w:rsidP="00285430">
      <w:pPr>
        <w:rPr>
          <w:rFonts w:cs="Arial"/>
          <w:b/>
          <w:szCs w:val="20"/>
          <w:lang w:val="fr-FR"/>
        </w:rPr>
      </w:pPr>
    </w:p>
    <w:p w:rsidR="00285430" w:rsidRPr="00146F55" w:rsidRDefault="00E14169" w:rsidP="00285430">
      <w:pPr>
        <w:rPr>
          <w:rFonts w:cs="Arial"/>
          <w:szCs w:val="20"/>
          <w:lang w:val="fr-FR"/>
        </w:rPr>
      </w:pPr>
      <w:r w:rsidRPr="00146F55">
        <w:rPr>
          <w:rFonts w:cs="Arial"/>
          <w:szCs w:val="20"/>
          <w:lang w:val="fr-FR"/>
        </w:rPr>
        <w:t>L'E+ est une évolution du transtockeur</w:t>
      </w:r>
      <w:r w:rsidR="00285430" w:rsidRPr="00146F55">
        <w:rPr>
          <w:rFonts w:cs="Arial"/>
          <w:szCs w:val="20"/>
          <w:lang w:val="fr-FR"/>
        </w:rPr>
        <w:t xml:space="preserve"> Mustang E, qui doit s</w:t>
      </w:r>
      <w:r w:rsidR="00B634B1">
        <w:rPr>
          <w:rFonts w:cs="Arial"/>
          <w:szCs w:val="20"/>
          <w:lang w:val="fr-FR"/>
        </w:rPr>
        <w:t>on succès</w:t>
      </w:r>
      <w:r w:rsidR="00D56774">
        <w:rPr>
          <w:rFonts w:cs="Arial"/>
          <w:szCs w:val="20"/>
          <w:lang w:val="fr-FR"/>
        </w:rPr>
        <w:t>,</w:t>
      </w:r>
      <w:r w:rsidR="00285430" w:rsidRPr="00146F55">
        <w:rPr>
          <w:rFonts w:cs="Arial"/>
          <w:szCs w:val="20"/>
          <w:lang w:val="fr-FR"/>
        </w:rPr>
        <w:t xml:space="preserve"> en particulier</w:t>
      </w:r>
      <w:r w:rsidR="00D56774">
        <w:rPr>
          <w:rFonts w:cs="Arial"/>
          <w:szCs w:val="20"/>
          <w:lang w:val="fr-FR"/>
        </w:rPr>
        <w:t>, à s</w:t>
      </w:r>
      <w:r w:rsidR="00285430" w:rsidRPr="00146F55">
        <w:rPr>
          <w:rFonts w:cs="Arial"/>
          <w:szCs w:val="20"/>
          <w:lang w:val="fr-FR"/>
        </w:rPr>
        <w:t xml:space="preserve">a conception orientée vers les besoins des clients. La Mustang E+ est le fruit de 50 ans d'expérience dans le développement des </w:t>
      </w:r>
      <w:r w:rsidR="00146F55" w:rsidRPr="00146F55">
        <w:rPr>
          <w:rFonts w:cs="Arial"/>
          <w:szCs w:val="20"/>
          <w:lang w:val="fr-FR"/>
        </w:rPr>
        <w:t>transtockeurs</w:t>
      </w:r>
      <w:r w:rsidR="00285430" w:rsidRPr="00146F55">
        <w:rPr>
          <w:rFonts w:cs="Arial"/>
          <w:szCs w:val="20"/>
          <w:lang w:val="fr-FR"/>
        </w:rPr>
        <w:t>. L'expérience acquise au cours de l'exploitation</w:t>
      </w:r>
      <w:r w:rsidR="00EA09CD">
        <w:rPr>
          <w:rFonts w:cs="Arial"/>
          <w:szCs w:val="20"/>
          <w:lang w:val="fr-FR"/>
        </w:rPr>
        <w:t xml:space="preserve"> </w:t>
      </w:r>
      <w:r w:rsidR="00EA09CD" w:rsidRPr="005366F4">
        <w:rPr>
          <w:rFonts w:cs="Arial"/>
          <w:szCs w:val="20"/>
          <w:lang w:val="fr-FR"/>
        </w:rPr>
        <w:t>et</w:t>
      </w:r>
      <w:r w:rsidR="00285430" w:rsidRPr="005366F4">
        <w:rPr>
          <w:rFonts w:cs="Arial"/>
          <w:szCs w:val="20"/>
          <w:lang w:val="fr-FR"/>
        </w:rPr>
        <w:t xml:space="preserve"> </w:t>
      </w:r>
      <w:r w:rsidR="00285430" w:rsidRPr="00146F55">
        <w:rPr>
          <w:rFonts w:cs="Arial"/>
          <w:szCs w:val="20"/>
          <w:lang w:val="fr-FR"/>
        </w:rPr>
        <w:t xml:space="preserve">de l'entretien sur des centaines de sites clients a été </w:t>
      </w:r>
      <w:r w:rsidR="00B634B1">
        <w:rPr>
          <w:rFonts w:cs="Arial"/>
          <w:szCs w:val="20"/>
          <w:lang w:val="fr-FR"/>
        </w:rPr>
        <w:t>indispensable</w:t>
      </w:r>
      <w:r w:rsidR="00285430" w:rsidRPr="00146F55">
        <w:rPr>
          <w:rFonts w:cs="Arial"/>
          <w:szCs w:val="20"/>
          <w:lang w:val="fr-FR"/>
        </w:rPr>
        <w:t xml:space="preserve"> pour le processus de développement. "Nous nous sommes concentrés intensivement sur le marché et les exigences de nos clients et no</w:t>
      </w:r>
      <w:r w:rsidR="00146F55" w:rsidRPr="00146F55">
        <w:rPr>
          <w:rFonts w:cs="Arial"/>
          <w:szCs w:val="20"/>
          <w:lang w:val="fr-FR"/>
        </w:rPr>
        <w:t>us avons continué à optimiser le</w:t>
      </w:r>
      <w:r w:rsidR="00285430" w:rsidRPr="00146F55">
        <w:rPr>
          <w:rFonts w:cs="Arial"/>
          <w:szCs w:val="20"/>
          <w:lang w:val="fr-FR"/>
        </w:rPr>
        <w:t xml:space="preserve"> Mustang avec assiduité ", souligne Martin Rausch, directeur général de TGW Mechanics. "Le résultat est le E+. Nous pouvons ainsi </w:t>
      </w:r>
      <w:r w:rsidR="00146F55" w:rsidRPr="00146F55">
        <w:rPr>
          <w:rFonts w:cs="Arial"/>
          <w:szCs w:val="20"/>
          <w:lang w:val="fr-FR"/>
        </w:rPr>
        <w:t>atteindre</w:t>
      </w:r>
      <w:r w:rsidR="00285430" w:rsidRPr="00146F55">
        <w:rPr>
          <w:rFonts w:cs="Arial"/>
          <w:szCs w:val="20"/>
          <w:lang w:val="fr-FR"/>
        </w:rPr>
        <w:t xml:space="preserve"> de manière optimale </w:t>
      </w:r>
      <w:r w:rsidR="00146F55" w:rsidRPr="00146F55">
        <w:rPr>
          <w:rFonts w:cs="Arial"/>
          <w:szCs w:val="20"/>
          <w:lang w:val="fr-FR"/>
        </w:rPr>
        <w:t>une</w:t>
      </w:r>
      <w:r w:rsidR="00285430" w:rsidRPr="00146F55">
        <w:rPr>
          <w:rFonts w:cs="Arial"/>
          <w:szCs w:val="20"/>
          <w:lang w:val="fr-FR"/>
        </w:rPr>
        <w:t xml:space="preserve"> hauteur </w:t>
      </w:r>
      <w:r w:rsidR="00146F55" w:rsidRPr="00146F55">
        <w:rPr>
          <w:rFonts w:cs="Arial"/>
          <w:szCs w:val="20"/>
          <w:lang w:val="fr-FR"/>
        </w:rPr>
        <w:t xml:space="preserve">de </w:t>
      </w:r>
      <w:r w:rsidR="00285430" w:rsidRPr="00146F55">
        <w:rPr>
          <w:rFonts w:cs="Arial"/>
          <w:szCs w:val="20"/>
          <w:lang w:val="fr-FR"/>
        </w:rPr>
        <w:t>18 mètres."</w:t>
      </w:r>
    </w:p>
    <w:p w:rsidR="00285430" w:rsidRPr="00D56BE6" w:rsidRDefault="00285430" w:rsidP="00285430">
      <w:pPr>
        <w:rPr>
          <w:rFonts w:cs="Arial"/>
          <w:b/>
          <w:szCs w:val="20"/>
          <w:lang w:val="fr-FR"/>
        </w:rPr>
      </w:pPr>
    </w:p>
    <w:p w:rsidR="00285430" w:rsidRPr="00D56BE6" w:rsidRDefault="00285430" w:rsidP="00285430">
      <w:pPr>
        <w:rPr>
          <w:rFonts w:cs="Arial"/>
          <w:b/>
          <w:szCs w:val="20"/>
          <w:lang w:val="fr-FR"/>
        </w:rPr>
      </w:pPr>
      <w:r w:rsidRPr="00D56BE6">
        <w:rPr>
          <w:rFonts w:cs="Arial"/>
          <w:b/>
          <w:szCs w:val="20"/>
          <w:lang w:val="fr-FR"/>
        </w:rPr>
        <w:t>Puissance et dynamique maximales</w:t>
      </w:r>
    </w:p>
    <w:p w:rsidR="00285430" w:rsidRPr="00D56BE6" w:rsidRDefault="00285430" w:rsidP="00285430">
      <w:pPr>
        <w:rPr>
          <w:rFonts w:cs="Arial"/>
          <w:b/>
          <w:szCs w:val="20"/>
          <w:lang w:val="fr-FR"/>
        </w:rPr>
      </w:pPr>
    </w:p>
    <w:p w:rsidR="00285430" w:rsidRDefault="00285430" w:rsidP="00285430">
      <w:pPr>
        <w:rPr>
          <w:rFonts w:cs="Arial"/>
          <w:szCs w:val="20"/>
          <w:lang w:val="fr-FR"/>
        </w:rPr>
      </w:pPr>
      <w:r w:rsidRPr="00146F55">
        <w:rPr>
          <w:rFonts w:cs="Arial"/>
          <w:szCs w:val="20"/>
          <w:lang w:val="fr-FR"/>
        </w:rPr>
        <w:t>Grâce au perfectionnement de l'unité de levage, l</w:t>
      </w:r>
      <w:r w:rsidR="00D56774">
        <w:rPr>
          <w:rFonts w:cs="Arial"/>
          <w:szCs w:val="20"/>
          <w:lang w:val="fr-FR"/>
        </w:rPr>
        <w:t>e</w:t>
      </w:r>
      <w:r w:rsidRPr="00146F55">
        <w:rPr>
          <w:rFonts w:cs="Arial"/>
          <w:szCs w:val="20"/>
          <w:lang w:val="fr-FR"/>
        </w:rPr>
        <w:t xml:space="preserve"> Mustang E+ est désorma</w:t>
      </w:r>
      <w:r w:rsidR="00D56774">
        <w:rPr>
          <w:rFonts w:cs="Arial"/>
          <w:szCs w:val="20"/>
          <w:lang w:val="fr-FR"/>
        </w:rPr>
        <w:t>is également conçu</w:t>
      </w:r>
      <w:r w:rsidRPr="00146F55">
        <w:rPr>
          <w:rFonts w:cs="Arial"/>
          <w:szCs w:val="20"/>
          <w:lang w:val="fr-FR"/>
        </w:rPr>
        <w:t xml:space="preserve"> pour l'utilisation d'un dispositif de manutention qui peut stocker et </w:t>
      </w:r>
      <w:r w:rsidR="00EA09CD" w:rsidRPr="004E6B3D">
        <w:rPr>
          <w:rFonts w:cs="Arial"/>
          <w:szCs w:val="20"/>
          <w:lang w:val="fr-FR"/>
        </w:rPr>
        <w:t xml:space="preserve">manipuler </w:t>
      </w:r>
      <w:r w:rsidRPr="00146F55">
        <w:rPr>
          <w:rFonts w:cs="Arial"/>
          <w:szCs w:val="20"/>
          <w:lang w:val="fr-FR"/>
        </w:rPr>
        <w:t>jusqu'à quatre cartons d'un poids total de 100 k</w:t>
      </w:r>
      <w:r w:rsidR="00D56774">
        <w:rPr>
          <w:rFonts w:cs="Arial"/>
          <w:szCs w:val="20"/>
          <w:lang w:val="fr-FR"/>
        </w:rPr>
        <w:t>g. En termes de performances, le</w:t>
      </w:r>
      <w:r w:rsidRPr="00146F55">
        <w:rPr>
          <w:rFonts w:cs="Arial"/>
          <w:szCs w:val="20"/>
          <w:lang w:val="fr-FR"/>
        </w:rPr>
        <w:t xml:space="preserve"> Mustang E+ </w:t>
      </w:r>
      <w:r w:rsidR="00D56774">
        <w:rPr>
          <w:rFonts w:cs="Arial"/>
          <w:szCs w:val="20"/>
          <w:lang w:val="fr-FR"/>
        </w:rPr>
        <w:t>(</w:t>
      </w:r>
      <w:r w:rsidRPr="00146F55">
        <w:rPr>
          <w:rFonts w:cs="Arial"/>
          <w:szCs w:val="20"/>
          <w:lang w:val="fr-FR"/>
        </w:rPr>
        <w:t>qui est disponible en option avec un entraînement anti-pendulum</w:t>
      </w:r>
      <w:r w:rsidR="00D56774">
        <w:rPr>
          <w:rFonts w:cs="Arial"/>
          <w:szCs w:val="20"/>
          <w:lang w:val="fr-FR"/>
        </w:rPr>
        <w:t>)</w:t>
      </w:r>
      <w:r w:rsidRPr="00146F55">
        <w:rPr>
          <w:rFonts w:cs="Arial"/>
          <w:szCs w:val="20"/>
          <w:lang w:val="fr-FR"/>
        </w:rPr>
        <w:t xml:space="preserve"> </w:t>
      </w:r>
      <w:r w:rsidR="00D56774">
        <w:rPr>
          <w:rFonts w:cs="Arial"/>
          <w:szCs w:val="20"/>
          <w:lang w:val="fr-FR"/>
        </w:rPr>
        <w:t>dépasse tous</w:t>
      </w:r>
      <w:r w:rsidRPr="00146F55">
        <w:rPr>
          <w:rFonts w:cs="Arial"/>
          <w:szCs w:val="20"/>
          <w:lang w:val="fr-FR"/>
        </w:rPr>
        <w:t xml:space="preserve"> les autres </w:t>
      </w:r>
      <w:r w:rsidR="00D56774">
        <w:rPr>
          <w:rFonts w:cs="Arial"/>
          <w:szCs w:val="20"/>
          <w:lang w:val="fr-FR"/>
        </w:rPr>
        <w:t>transtockeurs TGW</w:t>
      </w:r>
      <w:r w:rsidR="004E6B3D">
        <w:rPr>
          <w:rFonts w:cs="Arial"/>
          <w:szCs w:val="20"/>
          <w:lang w:val="fr-FR"/>
        </w:rPr>
        <w:t xml:space="preserve"> avec</w:t>
      </w:r>
      <w:r w:rsidRPr="00146F55">
        <w:rPr>
          <w:rFonts w:cs="Arial"/>
          <w:szCs w:val="20"/>
          <w:lang w:val="fr-FR"/>
        </w:rPr>
        <w:t xml:space="preserve"> des déplacements encore plus dynamiques.</w:t>
      </w:r>
    </w:p>
    <w:p w:rsidR="00146F55" w:rsidRPr="00146F55" w:rsidRDefault="00146F55" w:rsidP="00285430">
      <w:pPr>
        <w:rPr>
          <w:rFonts w:cs="Arial"/>
          <w:szCs w:val="20"/>
          <w:lang w:val="fr-FR"/>
        </w:rPr>
      </w:pPr>
    </w:p>
    <w:p w:rsidR="00285430" w:rsidRPr="00D56BE6" w:rsidRDefault="00285430" w:rsidP="00285430">
      <w:pPr>
        <w:rPr>
          <w:rFonts w:cs="Arial"/>
          <w:b/>
          <w:szCs w:val="20"/>
          <w:lang w:val="fr-FR"/>
        </w:rPr>
      </w:pPr>
      <w:r w:rsidRPr="00D56BE6">
        <w:rPr>
          <w:rFonts w:cs="Arial"/>
          <w:b/>
          <w:szCs w:val="20"/>
          <w:lang w:val="fr-FR"/>
        </w:rPr>
        <w:t>Utilisation optimisée des emplacements de stockage</w:t>
      </w:r>
    </w:p>
    <w:p w:rsidR="00285430" w:rsidRPr="00D56BE6" w:rsidRDefault="00285430" w:rsidP="00285430">
      <w:pPr>
        <w:rPr>
          <w:rFonts w:cs="Arial"/>
          <w:b/>
          <w:szCs w:val="20"/>
          <w:lang w:val="fr-FR"/>
        </w:rPr>
      </w:pPr>
    </w:p>
    <w:p w:rsidR="00285430" w:rsidRPr="00146F55" w:rsidRDefault="00285430" w:rsidP="00285430">
      <w:pPr>
        <w:rPr>
          <w:rFonts w:cs="Arial"/>
          <w:szCs w:val="20"/>
          <w:lang w:val="fr-FR"/>
        </w:rPr>
      </w:pPr>
      <w:r w:rsidRPr="00146F55">
        <w:rPr>
          <w:rFonts w:cs="Arial"/>
          <w:szCs w:val="20"/>
          <w:lang w:val="fr-FR"/>
        </w:rPr>
        <w:t>La construction compacte et optimisée en poids crée également les conditions idéales pour l'utilisation dans des systèmes</w:t>
      </w:r>
      <w:r w:rsidR="00EA09CD">
        <w:rPr>
          <w:rFonts w:cs="Arial"/>
          <w:szCs w:val="20"/>
          <w:lang w:val="fr-FR"/>
        </w:rPr>
        <w:t xml:space="preserve"> </w:t>
      </w:r>
      <w:r w:rsidR="00EA09CD" w:rsidRPr="005366F4">
        <w:rPr>
          <w:rFonts w:cs="Arial"/>
          <w:szCs w:val="20"/>
          <w:lang w:val="fr-FR"/>
        </w:rPr>
        <w:t>avec miniloads superposés</w:t>
      </w:r>
      <w:r w:rsidRPr="005366F4">
        <w:rPr>
          <w:rFonts w:cs="Arial"/>
          <w:szCs w:val="20"/>
          <w:lang w:val="fr-FR"/>
        </w:rPr>
        <w:t>.</w:t>
      </w:r>
      <w:r w:rsidRPr="00146F55">
        <w:rPr>
          <w:rFonts w:cs="Arial"/>
          <w:szCs w:val="20"/>
          <w:lang w:val="fr-FR"/>
        </w:rPr>
        <w:t xml:space="preserve"> Grâce </w:t>
      </w:r>
      <w:r w:rsidR="00C87DE6">
        <w:rPr>
          <w:rFonts w:cs="Arial"/>
          <w:szCs w:val="20"/>
          <w:lang w:val="fr-FR"/>
        </w:rPr>
        <w:t>à son faible encombrement</w:t>
      </w:r>
      <w:r w:rsidRPr="00146F55">
        <w:rPr>
          <w:rFonts w:cs="Arial"/>
          <w:szCs w:val="20"/>
          <w:lang w:val="fr-FR"/>
        </w:rPr>
        <w:t xml:space="preserve">, la surface de stockage disponible peut être utilisée </w:t>
      </w:r>
      <w:r w:rsidR="00C87DE6">
        <w:rPr>
          <w:rFonts w:cs="Arial"/>
          <w:szCs w:val="20"/>
          <w:lang w:val="fr-FR"/>
        </w:rPr>
        <w:t>de manière optimale. De plus, le</w:t>
      </w:r>
      <w:r w:rsidRPr="00146F55">
        <w:rPr>
          <w:rFonts w:cs="Arial"/>
          <w:szCs w:val="20"/>
          <w:lang w:val="fr-FR"/>
        </w:rPr>
        <w:t xml:space="preserve"> Mustang E+ est également disponible pour les applications</w:t>
      </w:r>
      <w:r w:rsidR="00EA09CD">
        <w:rPr>
          <w:rFonts w:cs="Arial"/>
          <w:szCs w:val="20"/>
          <w:lang w:val="fr-FR"/>
        </w:rPr>
        <w:t xml:space="preserve"> </w:t>
      </w:r>
      <w:r w:rsidR="00EA09CD" w:rsidRPr="005366F4">
        <w:rPr>
          <w:rFonts w:cs="Arial"/>
          <w:szCs w:val="20"/>
          <w:lang w:val="fr-FR"/>
        </w:rPr>
        <w:t>en froid négatif</w:t>
      </w:r>
      <w:r w:rsidRPr="005366F4">
        <w:rPr>
          <w:rFonts w:cs="Arial"/>
          <w:szCs w:val="20"/>
          <w:lang w:val="fr-FR"/>
        </w:rPr>
        <w:t xml:space="preserve"> </w:t>
      </w:r>
      <w:r w:rsidRPr="00146F55">
        <w:rPr>
          <w:rFonts w:cs="Arial"/>
          <w:szCs w:val="20"/>
          <w:lang w:val="fr-FR"/>
        </w:rPr>
        <w:t>comme toute la gamme de produits TGW.</w:t>
      </w:r>
    </w:p>
    <w:p w:rsidR="00285430" w:rsidRPr="00146F55" w:rsidRDefault="00285430" w:rsidP="00285430">
      <w:pPr>
        <w:rPr>
          <w:rFonts w:cs="Arial"/>
          <w:szCs w:val="20"/>
          <w:lang w:val="fr-FR"/>
        </w:rPr>
      </w:pPr>
    </w:p>
    <w:p w:rsidR="00285430" w:rsidRPr="00146F55" w:rsidRDefault="00285430" w:rsidP="00285430">
      <w:pPr>
        <w:rPr>
          <w:rFonts w:cs="Arial"/>
          <w:szCs w:val="20"/>
          <w:lang w:val="fr-FR"/>
        </w:rPr>
      </w:pPr>
      <w:r w:rsidRPr="00146F55">
        <w:rPr>
          <w:rFonts w:cs="Arial"/>
          <w:szCs w:val="20"/>
          <w:lang w:val="fr-FR"/>
        </w:rPr>
        <w:lastRenderedPageBreak/>
        <w:t xml:space="preserve">Tous les composants principaux (par ex. le dispositif de manutention, le chariot de translation ou le mât et l'unité de levage) sont mis en service et testés </w:t>
      </w:r>
      <w:r w:rsidR="00EA09CD" w:rsidRPr="005366F4">
        <w:rPr>
          <w:rFonts w:cs="Arial"/>
          <w:szCs w:val="20"/>
          <w:lang w:val="fr-FR"/>
        </w:rPr>
        <w:t xml:space="preserve">dans l’usine de </w:t>
      </w:r>
      <w:r w:rsidRPr="00146F55">
        <w:rPr>
          <w:rFonts w:cs="Arial"/>
          <w:szCs w:val="20"/>
          <w:lang w:val="fr-FR"/>
        </w:rPr>
        <w:t>TGW, ce qui garantit une qualité et une efficacité optimales ainsi qu'une mise en service plus rapide sur le site du client.</w:t>
      </w:r>
    </w:p>
    <w:p w:rsidR="00285430" w:rsidRPr="00D56BE6" w:rsidRDefault="00285430" w:rsidP="00285430">
      <w:pPr>
        <w:rPr>
          <w:rFonts w:cs="Arial"/>
          <w:b/>
          <w:szCs w:val="20"/>
          <w:lang w:val="fr-FR"/>
        </w:rPr>
      </w:pPr>
    </w:p>
    <w:p w:rsidR="00285430" w:rsidRPr="00D56BE6" w:rsidRDefault="00285430" w:rsidP="00285430">
      <w:pPr>
        <w:rPr>
          <w:rFonts w:cs="Arial"/>
          <w:b/>
          <w:szCs w:val="20"/>
          <w:lang w:val="fr-FR"/>
        </w:rPr>
      </w:pPr>
      <w:r w:rsidRPr="00D56BE6">
        <w:rPr>
          <w:rFonts w:cs="Arial"/>
          <w:b/>
          <w:szCs w:val="20"/>
          <w:lang w:val="fr-FR"/>
        </w:rPr>
        <w:t>L'intelligence dans le contrôle et la conception</w:t>
      </w:r>
    </w:p>
    <w:p w:rsidR="00285430" w:rsidRPr="00D56BE6" w:rsidRDefault="00285430" w:rsidP="00285430">
      <w:pPr>
        <w:rPr>
          <w:rFonts w:cs="Arial"/>
          <w:b/>
          <w:szCs w:val="20"/>
          <w:lang w:val="fr-FR"/>
        </w:rPr>
      </w:pPr>
    </w:p>
    <w:p w:rsidR="00285430" w:rsidRPr="00146F55" w:rsidRDefault="00285430" w:rsidP="00285430">
      <w:pPr>
        <w:rPr>
          <w:rFonts w:cs="Arial"/>
          <w:szCs w:val="20"/>
          <w:lang w:val="fr-FR"/>
        </w:rPr>
      </w:pPr>
      <w:r w:rsidRPr="00146F55">
        <w:rPr>
          <w:rFonts w:cs="Arial"/>
          <w:szCs w:val="20"/>
          <w:lang w:val="fr-FR"/>
        </w:rPr>
        <w:t xml:space="preserve">Le logiciel de </w:t>
      </w:r>
      <w:r w:rsidR="00CF4A67">
        <w:rPr>
          <w:rFonts w:cs="Arial"/>
          <w:szCs w:val="20"/>
          <w:lang w:val="fr-FR"/>
        </w:rPr>
        <w:t>pilotage</w:t>
      </w:r>
      <w:r w:rsidRPr="00146F55">
        <w:rPr>
          <w:rFonts w:cs="Arial"/>
          <w:szCs w:val="20"/>
          <w:lang w:val="fr-FR"/>
        </w:rPr>
        <w:t xml:space="preserve"> et la technique d'entraînement éprouvés de la famille de</w:t>
      </w:r>
      <w:r w:rsidR="00CF4A67">
        <w:rPr>
          <w:rFonts w:cs="Arial"/>
          <w:szCs w:val="20"/>
          <w:lang w:val="fr-FR"/>
        </w:rPr>
        <w:t>s</w:t>
      </w:r>
      <w:r w:rsidRPr="00146F55">
        <w:rPr>
          <w:rFonts w:cs="Arial"/>
          <w:szCs w:val="20"/>
          <w:lang w:val="fr-FR"/>
        </w:rPr>
        <w:t xml:space="preserve"> </w:t>
      </w:r>
      <w:r w:rsidR="00CF4A67">
        <w:rPr>
          <w:rFonts w:cs="Arial"/>
          <w:szCs w:val="20"/>
          <w:lang w:val="fr-FR"/>
        </w:rPr>
        <w:t>équipements</w:t>
      </w:r>
      <w:r w:rsidRPr="00146F55">
        <w:rPr>
          <w:rFonts w:cs="Arial"/>
          <w:szCs w:val="20"/>
          <w:lang w:val="fr-FR"/>
        </w:rPr>
        <w:t xml:space="preserve"> Mustang garantissent une fiabilité maximale et un fonctionnement sans faille. </w:t>
      </w:r>
      <w:r w:rsidR="00CF4A67">
        <w:rPr>
          <w:rFonts w:cs="Arial"/>
          <w:szCs w:val="20"/>
          <w:lang w:val="fr-FR"/>
        </w:rPr>
        <w:t>"Cependant, l'intelligence du</w:t>
      </w:r>
      <w:r w:rsidRPr="00146F55">
        <w:rPr>
          <w:rFonts w:cs="Arial"/>
          <w:szCs w:val="20"/>
          <w:lang w:val="fr-FR"/>
        </w:rPr>
        <w:t xml:space="preserve"> Mustang E+ repose non seulement sur le logiciel et la technologie de </w:t>
      </w:r>
      <w:r w:rsidR="00CF4A67">
        <w:rPr>
          <w:rFonts w:cs="Arial"/>
          <w:szCs w:val="20"/>
          <w:lang w:val="fr-FR"/>
        </w:rPr>
        <w:t>pilotage</w:t>
      </w:r>
      <w:r w:rsidRPr="00146F55">
        <w:rPr>
          <w:rFonts w:cs="Arial"/>
          <w:szCs w:val="20"/>
          <w:lang w:val="fr-FR"/>
        </w:rPr>
        <w:t>, mais aussi sur sa grande flexibilité. Cela permet de répondre de manière optimale aux différentes exigences de</w:t>
      </w:r>
      <w:r w:rsidR="005366F4">
        <w:rPr>
          <w:rFonts w:cs="Arial"/>
          <w:szCs w:val="20"/>
          <w:lang w:val="fr-FR"/>
        </w:rPr>
        <w:t xml:space="preserve"> no</w:t>
      </w:r>
      <w:r w:rsidRPr="00146F55">
        <w:rPr>
          <w:rFonts w:cs="Arial"/>
          <w:szCs w:val="20"/>
          <w:lang w:val="fr-FR"/>
        </w:rPr>
        <w:t xml:space="preserve">s clients et </w:t>
      </w:r>
      <w:r w:rsidR="00CF4A67">
        <w:rPr>
          <w:rFonts w:cs="Arial"/>
          <w:szCs w:val="20"/>
          <w:lang w:val="fr-FR"/>
        </w:rPr>
        <w:t xml:space="preserve">aux logiciels </w:t>
      </w:r>
      <w:r w:rsidRPr="00146F55">
        <w:rPr>
          <w:rFonts w:cs="Arial"/>
          <w:szCs w:val="20"/>
          <w:lang w:val="fr-FR"/>
        </w:rPr>
        <w:t xml:space="preserve">de </w:t>
      </w:r>
      <w:r w:rsidR="00CF4A67">
        <w:rPr>
          <w:rFonts w:cs="Arial"/>
          <w:szCs w:val="20"/>
          <w:lang w:val="fr-FR"/>
        </w:rPr>
        <w:t>pilotage des partenaires</w:t>
      </w:r>
      <w:r w:rsidRPr="00146F55">
        <w:rPr>
          <w:rFonts w:cs="Arial"/>
          <w:szCs w:val="20"/>
          <w:lang w:val="fr-FR"/>
        </w:rPr>
        <w:t xml:space="preserve"> ", explique Armin Leithner, chef de produit Smart Mechatronics. "Selon l'application, la Mustang E+ offre de nombreuses options </w:t>
      </w:r>
      <w:r w:rsidR="00991E54" w:rsidRPr="00146F55">
        <w:rPr>
          <w:rFonts w:cs="Arial"/>
          <w:szCs w:val="20"/>
          <w:lang w:val="fr-FR"/>
        </w:rPr>
        <w:t xml:space="preserve">déjà intégrées dans la gamme de produits standard </w:t>
      </w:r>
      <w:r w:rsidRPr="00146F55">
        <w:rPr>
          <w:rFonts w:cs="Arial"/>
          <w:szCs w:val="20"/>
          <w:lang w:val="fr-FR"/>
        </w:rPr>
        <w:t>pour une configuration optimale</w:t>
      </w:r>
      <w:r w:rsidR="005366F4">
        <w:rPr>
          <w:rFonts w:cs="Arial"/>
          <w:szCs w:val="20"/>
          <w:lang w:val="fr-FR"/>
        </w:rPr>
        <w:t> »</w:t>
      </w:r>
      <w:r w:rsidRPr="00146F55">
        <w:rPr>
          <w:rFonts w:cs="Arial"/>
          <w:szCs w:val="20"/>
          <w:lang w:val="fr-FR"/>
        </w:rPr>
        <w:t>.</w:t>
      </w:r>
    </w:p>
    <w:p w:rsidR="00285430" w:rsidRPr="00146F55" w:rsidRDefault="00285430" w:rsidP="00285430">
      <w:pPr>
        <w:rPr>
          <w:rFonts w:cs="Arial"/>
          <w:szCs w:val="20"/>
          <w:lang w:val="fr-FR"/>
        </w:rPr>
      </w:pPr>
    </w:p>
    <w:p w:rsidR="00285430" w:rsidRPr="00146F55" w:rsidRDefault="00285430" w:rsidP="00285430">
      <w:pPr>
        <w:rPr>
          <w:rFonts w:cs="Arial"/>
          <w:szCs w:val="20"/>
          <w:lang w:val="fr-FR"/>
        </w:rPr>
      </w:pPr>
      <w:r w:rsidRPr="00146F55">
        <w:rPr>
          <w:rFonts w:cs="Arial"/>
          <w:szCs w:val="20"/>
          <w:lang w:val="fr-FR"/>
        </w:rPr>
        <w:t>Le client a le choix entre différents modèles d'appareils avec des performances de levage configurées individuellement, différentes versions de moteurs de différents fournisseurs et une plate-forme de maintenance embarquée en option</w:t>
      </w:r>
      <w:r w:rsidRPr="005366F4">
        <w:rPr>
          <w:rFonts w:cs="Arial"/>
          <w:szCs w:val="20"/>
          <w:lang w:val="fr-FR"/>
        </w:rPr>
        <w:t xml:space="preserve">. </w:t>
      </w:r>
      <w:r w:rsidR="005366F4" w:rsidRPr="005366F4">
        <w:rPr>
          <w:rFonts w:cs="Arial"/>
          <w:szCs w:val="20"/>
          <w:lang w:val="fr-FR"/>
        </w:rPr>
        <w:t>Ils</w:t>
      </w:r>
      <w:r w:rsidRPr="00146F55">
        <w:rPr>
          <w:rFonts w:cs="Arial"/>
          <w:szCs w:val="20"/>
          <w:lang w:val="fr-FR"/>
        </w:rPr>
        <w:t xml:space="preserve"> satisfont tous aux exigences les plus strictes en matière de qualité et de durabilité. Cette nouvelle machine s'intègre donc parfaitement dans le portefeuille de solutions de TGW et constitue un autre composant puissant.</w:t>
      </w:r>
    </w:p>
    <w:p w:rsidR="00285430" w:rsidRPr="00D56BE6" w:rsidRDefault="00285430" w:rsidP="00285430">
      <w:pPr>
        <w:rPr>
          <w:rFonts w:cs="Arial"/>
          <w:b/>
          <w:szCs w:val="20"/>
          <w:lang w:val="fr-FR"/>
        </w:rPr>
      </w:pPr>
    </w:p>
    <w:p w:rsidR="00285430" w:rsidRPr="00D56BE6" w:rsidRDefault="00285430" w:rsidP="00285430">
      <w:pPr>
        <w:rPr>
          <w:rFonts w:cs="Arial"/>
          <w:b/>
          <w:szCs w:val="20"/>
          <w:lang w:val="fr-FR"/>
        </w:rPr>
      </w:pPr>
      <w:r w:rsidRPr="00D56BE6">
        <w:rPr>
          <w:rFonts w:cs="Arial"/>
          <w:b/>
          <w:szCs w:val="20"/>
          <w:lang w:val="fr-FR"/>
        </w:rPr>
        <w:t xml:space="preserve">Les </w:t>
      </w:r>
      <w:r w:rsidR="00991E54">
        <w:rPr>
          <w:rFonts w:cs="Arial"/>
          <w:b/>
          <w:szCs w:val="20"/>
          <w:lang w:val="fr-FR"/>
        </w:rPr>
        <w:t>transtockeurs</w:t>
      </w:r>
      <w:r w:rsidRPr="00D56BE6">
        <w:rPr>
          <w:rFonts w:cs="Arial"/>
          <w:b/>
          <w:szCs w:val="20"/>
          <w:lang w:val="fr-FR"/>
        </w:rPr>
        <w:t xml:space="preserve"> TGW en chiffres</w:t>
      </w:r>
    </w:p>
    <w:p w:rsidR="00285430" w:rsidRPr="00D56BE6" w:rsidRDefault="00285430" w:rsidP="00285430">
      <w:pPr>
        <w:rPr>
          <w:rFonts w:cs="Arial"/>
          <w:b/>
          <w:szCs w:val="20"/>
          <w:lang w:val="fr-FR"/>
        </w:rPr>
      </w:pPr>
    </w:p>
    <w:p w:rsidR="00285430" w:rsidRPr="00146F55" w:rsidRDefault="00285430" w:rsidP="00285430">
      <w:pPr>
        <w:rPr>
          <w:rFonts w:cs="Arial"/>
          <w:szCs w:val="20"/>
          <w:lang w:val="fr-FR"/>
        </w:rPr>
      </w:pPr>
      <w:r w:rsidRPr="00146F55">
        <w:rPr>
          <w:rFonts w:cs="Arial"/>
          <w:szCs w:val="20"/>
          <w:lang w:val="fr-FR"/>
        </w:rPr>
        <w:t xml:space="preserve">- Plus de 8.000 </w:t>
      </w:r>
      <w:r w:rsidR="005366F4">
        <w:rPr>
          <w:rFonts w:cs="Arial"/>
          <w:szCs w:val="20"/>
          <w:lang w:val="fr-FR"/>
        </w:rPr>
        <w:t>miniloads</w:t>
      </w:r>
      <w:r w:rsidRPr="00146F55">
        <w:rPr>
          <w:rFonts w:cs="Arial"/>
          <w:szCs w:val="20"/>
          <w:lang w:val="fr-FR"/>
        </w:rPr>
        <w:t xml:space="preserve"> TGW sont utilisées dans le monde entier. Avec le système de navette Stingray, TGW couvre l'ensemble du processus </w:t>
      </w:r>
      <w:r w:rsidR="00F3776D">
        <w:rPr>
          <w:rFonts w:cs="Arial"/>
          <w:szCs w:val="20"/>
          <w:lang w:val="fr-FR"/>
        </w:rPr>
        <w:t>d’entrepôt « goods to person »</w:t>
      </w:r>
      <w:r w:rsidRPr="00146F55">
        <w:rPr>
          <w:rFonts w:cs="Arial"/>
          <w:szCs w:val="20"/>
          <w:lang w:val="fr-FR"/>
        </w:rPr>
        <w:t xml:space="preserve">. </w:t>
      </w:r>
    </w:p>
    <w:p w:rsidR="00285430" w:rsidRPr="00146F55" w:rsidRDefault="00285430" w:rsidP="00285430">
      <w:pPr>
        <w:rPr>
          <w:rFonts w:cs="Arial"/>
          <w:szCs w:val="20"/>
          <w:lang w:val="fr-FR"/>
        </w:rPr>
      </w:pPr>
      <w:r w:rsidRPr="00146F55">
        <w:rPr>
          <w:rFonts w:cs="Arial"/>
          <w:szCs w:val="20"/>
          <w:lang w:val="fr-FR"/>
        </w:rPr>
        <w:t xml:space="preserve">- TGW n'est pas seulement un pionnier, mais aussi le leader du marché en ce qui concerne le stockage direct des cartons. </w:t>
      </w:r>
    </w:p>
    <w:p w:rsidR="00285430" w:rsidRPr="00146F55" w:rsidRDefault="00285430" w:rsidP="00285430">
      <w:pPr>
        <w:rPr>
          <w:rFonts w:cs="Arial"/>
          <w:szCs w:val="20"/>
          <w:lang w:val="fr-FR"/>
        </w:rPr>
      </w:pPr>
      <w:r w:rsidRPr="00146F55">
        <w:rPr>
          <w:rFonts w:cs="Arial"/>
          <w:szCs w:val="20"/>
          <w:lang w:val="fr-FR"/>
        </w:rPr>
        <w:t xml:space="preserve">- TGW a acquis de l'expérience dans le développement, la maintenance et l'exploitation de ses </w:t>
      </w:r>
      <w:r w:rsidR="00F3776D">
        <w:rPr>
          <w:rFonts w:cs="Arial"/>
          <w:szCs w:val="20"/>
          <w:lang w:val="fr-FR"/>
        </w:rPr>
        <w:t>équipements</w:t>
      </w:r>
      <w:r w:rsidRPr="00146F55">
        <w:rPr>
          <w:rFonts w:cs="Arial"/>
          <w:szCs w:val="20"/>
          <w:lang w:val="fr-FR"/>
        </w:rPr>
        <w:t xml:space="preserve"> depuis maintenant 50 ans. Cette expérience est utilisée pour de nouveaux développements et améliorations.</w:t>
      </w:r>
    </w:p>
    <w:p w:rsidR="00285430" w:rsidRPr="00146F55" w:rsidRDefault="00285430" w:rsidP="00285430">
      <w:pPr>
        <w:rPr>
          <w:rFonts w:cs="Arial"/>
          <w:szCs w:val="20"/>
          <w:lang w:val="fr-FR"/>
        </w:rPr>
      </w:pPr>
      <w:r w:rsidRPr="00146F55">
        <w:rPr>
          <w:rFonts w:cs="Arial"/>
          <w:szCs w:val="20"/>
          <w:lang w:val="fr-FR"/>
        </w:rPr>
        <w:t>- Tous les composants sont disponibles pour les applications</w:t>
      </w:r>
      <w:r w:rsidR="00EA09CD">
        <w:rPr>
          <w:rFonts w:cs="Arial"/>
          <w:szCs w:val="20"/>
          <w:lang w:val="fr-FR"/>
        </w:rPr>
        <w:t xml:space="preserve"> </w:t>
      </w:r>
      <w:r w:rsidR="00EA09CD" w:rsidRPr="005366F4">
        <w:rPr>
          <w:rFonts w:cs="Arial"/>
          <w:szCs w:val="20"/>
          <w:lang w:val="fr-FR"/>
        </w:rPr>
        <w:t>en froid négatif</w:t>
      </w:r>
      <w:r w:rsidR="005366F4">
        <w:rPr>
          <w:rFonts w:cs="Arial"/>
          <w:szCs w:val="20"/>
          <w:lang w:val="fr-FR"/>
        </w:rPr>
        <w:t xml:space="preserve"> </w:t>
      </w:r>
      <w:r w:rsidRPr="00146F55">
        <w:rPr>
          <w:rFonts w:cs="Arial"/>
          <w:szCs w:val="20"/>
          <w:lang w:val="fr-FR"/>
        </w:rPr>
        <w:t>: environ 60 installations (soit au total 300 machines de stockage) sont déjà utilisées dans l</w:t>
      </w:r>
      <w:r w:rsidR="00F3776D">
        <w:rPr>
          <w:rFonts w:cs="Arial"/>
          <w:szCs w:val="20"/>
          <w:lang w:val="fr-FR"/>
        </w:rPr>
        <w:t>es zones de</w:t>
      </w:r>
      <w:r w:rsidRPr="00146F55">
        <w:rPr>
          <w:rFonts w:cs="Arial"/>
          <w:szCs w:val="20"/>
          <w:lang w:val="fr-FR"/>
        </w:rPr>
        <w:t xml:space="preserve"> températures de congélation.</w:t>
      </w:r>
    </w:p>
    <w:p w:rsidR="00285430" w:rsidRPr="00146F55" w:rsidRDefault="00285430" w:rsidP="00285430">
      <w:pPr>
        <w:rPr>
          <w:rFonts w:cs="Arial"/>
          <w:szCs w:val="20"/>
          <w:lang w:val="fr-FR"/>
        </w:rPr>
      </w:pPr>
      <w:r w:rsidRPr="00146F55">
        <w:rPr>
          <w:rFonts w:cs="Arial"/>
          <w:szCs w:val="20"/>
          <w:lang w:val="fr-FR"/>
        </w:rPr>
        <w:t xml:space="preserve">- Tous les composants principaux (par ex. le dispositif de manutention, le chariot de translation ou le mât et l'unité de levage) sont mis en service et testés </w:t>
      </w:r>
      <w:r w:rsidR="005366F4">
        <w:rPr>
          <w:rFonts w:cs="Arial"/>
          <w:szCs w:val="20"/>
          <w:lang w:val="fr-FR"/>
        </w:rPr>
        <w:t>dans l’usine</w:t>
      </w:r>
      <w:r w:rsidRPr="00146F55">
        <w:rPr>
          <w:rFonts w:cs="Arial"/>
          <w:szCs w:val="20"/>
          <w:lang w:val="fr-FR"/>
        </w:rPr>
        <w:t xml:space="preserve"> de TGW afin d'assurer une qualité et une efficacité optimales sur </w:t>
      </w:r>
      <w:r w:rsidR="00F3776D">
        <w:rPr>
          <w:rFonts w:cs="Arial"/>
          <w:szCs w:val="20"/>
          <w:lang w:val="fr-FR"/>
        </w:rPr>
        <w:t>site</w:t>
      </w:r>
      <w:r w:rsidRPr="00146F55">
        <w:rPr>
          <w:rFonts w:cs="Arial"/>
          <w:szCs w:val="20"/>
          <w:lang w:val="fr-FR"/>
        </w:rPr>
        <w:t>.</w:t>
      </w:r>
    </w:p>
    <w:p w:rsidR="00285430" w:rsidRPr="00285430" w:rsidRDefault="00285430" w:rsidP="00285430">
      <w:pPr>
        <w:rPr>
          <w:rFonts w:cs="Arial"/>
          <w:b/>
          <w:sz w:val="28"/>
          <w:szCs w:val="28"/>
          <w:lang w:val="fr-FR"/>
        </w:rPr>
      </w:pPr>
    </w:p>
    <w:p w:rsidR="005E362F" w:rsidRPr="005E362F" w:rsidRDefault="005E362F" w:rsidP="005E362F">
      <w:pPr>
        <w:spacing w:line="240" w:lineRule="auto"/>
        <w:ind w:left="0" w:right="276"/>
        <w:rPr>
          <w:rFonts w:cs="Arial"/>
          <w:szCs w:val="20"/>
          <w:lang w:val="fr-FR"/>
        </w:rPr>
      </w:pPr>
    </w:p>
    <w:p w:rsidR="00560A7A" w:rsidRPr="00EC6AA7" w:rsidRDefault="001050DC" w:rsidP="005E362F">
      <w:pPr>
        <w:spacing w:line="240" w:lineRule="auto"/>
        <w:ind w:left="0" w:right="276"/>
        <w:rPr>
          <w:rStyle w:val="Lienhypertexte"/>
          <w:rFonts w:cs="Arial"/>
          <w:color w:val="auto"/>
          <w:u w:val="none"/>
          <w:lang w:val="fr-FR"/>
        </w:rPr>
      </w:pPr>
      <w:hyperlink r:id="rId8" w:history="1">
        <w:r w:rsidR="00560A7A" w:rsidRPr="00EC6AA7">
          <w:rPr>
            <w:rStyle w:val="Lienhypertexte"/>
            <w:rFonts w:cs="Arial"/>
            <w:lang w:val="fr-FR"/>
          </w:rPr>
          <w:t>www.tgw-group.com</w:t>
        </w:r>
      </w:hyperlink>
      <w:r w:rsidR="00560A7A" w:rsidRPr="00EC6AA7">
        <w:rPr>
          <w:rStyle w:val="Lienhypertexte"/>
          <w:rFonts w:cs="Arial"/>
          <w:color w:val="auto"/>
          <w:u w:val="none"/>
          <w:lang w:val="fr-FR"/>
        </w:rPr>
        <w:br/>
      </w:r>
    </w:p>
    <w:p w:rsidR="00AB574C" w:rsidRDefault="00AB574C" w:rsidP="00570375">
      <w:pPr>
        <w:pStyle w:val="Normal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570375">
      <w:pPr>
        <w:pStyle w:val="NormalWeb"/>
        <w:shd w:val="clear" w:color="auto" w:fill="FFFFFF"/>
        <w:spacing w:before="0" w:beforeAutospacing="0" w:after="0" w:afterAutospacing="0" w:line="360" w:lineRule="auto"/>
        <w:ind w:right="276"/>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Avec près de 3 300 employés, TGW Logistics Group fabrique en Autriche et dispose de filiales en Europe, en Chine et aux Etats-Unis. Au cours de l'exercice 2017/2018, TGW Logistics Group a réalisé un chiffre d'affaires de 713 millions d'euros.</w:t>
      </w:r>
    </w:p>
    <w:p w:rsidR="00167C23" w:rsidRPr="00EF3956" w:rsidRDefault="00167C23" w:rsidP="00570375">
      <w:pPr>
        <w:spacing w:line="240" w:lineRule="auto"/>
        <w:ind w:left="0" w:right="276"/>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r w:rsidRPr="00EF3956">
        <w:rPr>
          <w:rFonts w:cs="Arial"/>
          <w:szCs w:val="20"/>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434783">
      <w:pPr>
        <w:spacing w:line="240" w:lineRule="auto"/>
        <w:ind w:left="0" w:right="165"/>
        <w:rPr>
          <w:rStyle w:val="Lienhypertexte"/>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0DC" w:rsidRDefault="001050DC" w:rsidP="00764006">
      <w:pPr>
        <w:spacing w:line="240" w:lineRule="auto"/>
      </w:pPr>
      <w:r>
        <w:separator/>
      </w:r>
    </w:p>
  </w:endnote>
  <w:endnote w:type="continuationSeparator" w:id="0">
    <w:p w:rsidR="001050DC" w:rsidRDefault="001050D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Pieddepage"/>
            <w:rPr>
              <w:sz w:val="16"/>
              <w:szCs w:val="16"/>
            </w:rPr>
          </w:pPr>
        </w:p>
      </w:tc>
      <w:tc>
        <w:tcPr>
          <w:tcW w:w="283" w:type="dxa"/>
          <w:tcBorders>
            <w:left w:val="single" w:sz="12" w:space="0" w:color="C00418" w:themeColor="accent1"/>
          </w:tcBorders>
        </w:tcPr>
        <w:p w:rsidR="000B65C7" w:rsidRPr="00C424EA" w:rsidRDefault="000B65C7" w:rsidP="00C424EA">
          <w:pPr>
            <w:pStyle w:val="Pieddepag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1050DC">
            <w:rPr>
              <w:noProof/>
              <w:sz w:val="16"/>
              <w:szCs w:val="16"/>
            </w:rPr>
            <w:t>1</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1050DC">
            <w:rPr>
              <w:noProof/>
              <w:sz w:val="16"/>
              <w:szCs w:val="16"/>
            </w:rPr>
            <w:t>1</w:t>
          </w:r>
          <w:r w:rsidR="00C424EA" w:rsidRPr="00C424EA">
            <w:rPr>
              <w:noProof/>
              <w:sz w:val="16"/>
              <w:szCs w:val="16"/>
            </w:rPr>
            <w:fldChar w:fldCharType="end"/>
          </w:r>
        </w:p>
      </w:tc>
    </w:tr>
  </w:tbl>
  <w:p w:rsidR="001F2A46" w:rsidRPr="000B65C7" w:rsidRDefault="001F2A46" w:rsidP="000B6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0DC" w:rsidRDefault="001050DC" w:rsidP="00764006">
      <w:pPr>
        <w:spacing w:line="240" w:lineRule="auto"/>
      </w:pPr>
      <w:r>
        <w:separator/>
      </w:r>
    </w:p>
  </w:footnote>
  <w:footnote w:type="continuationSeparator" w:id="0">
    <w:p w:rsidR="001050DC" w:rsidRDefault="001050D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val="fr-FR" w:eastAsia="fr-FR"/>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9"/>
  </w:num>
  <w:num w:numId="5">
    <w:abstractNumId w:val="21"/>
  </w:num>
  <w:num w:numId="6">
    <w:abstractNumId w:val="2"/>
  </w:num>
  <w:num w:numId="7">
    <w:abstractNumId w:val="0"/>
  </w:num>
  <w:num w:numId="8">
    <w:abstractNumId w:val="16"/>
  </w:num>
  <w:num w:numId="9">
    <w:abstractNumId w:val="3"/>
  </w:num>
  <w:num w:numId="10">
    <w:abstractNumId w:val="24"/>
  </w:num>
  <w:num w:numId="11">
    <w:abstractNumId w:val="9"/>
  </w:num>
  <w:num w:numId="12">
    <w:abstractNumId w:val="5"/>
  </w:num>
  <w:num w:numId="13">
    <w:abstractNumId w:val="6"/>
  </w:num>
  <w:num w:numId="14">
    <w:abstractNumId w:val="15"/>
  </w:num>
  <w:num w:numId="15">
    <w:abstractNumId w:val="27"/>
  </w:num>
  <w:num w:numId="16">
    <w:abstractNumId w:val="17"/>
  </w:num>
  <w:num w:numId="17">
    <w:abstractNumId w:val="11"/>
  </w:num>
  <w:num w:numId="18">
    <w:abstractNumId w:val="7"/>
  </w:num>
  <w:num w:numId="19">
    <w:abstractNumId w:val="26"/>
  </w:num>
  <w:num w:numId="20">
    <w:abstractNumId w:val="20"/>
  </w:num>
  <w:num w:numId="21">
    <w:abstractNumId w:val="23"/>
  </w:num>
  <w:num w:numId="22">
    <w:abstractNumId w:val="14"/>
  </w:num>
  <w:num w:numId="23">
    <w:abstractNumId w:val="22"/>
  </w:num>
  <w:num w:numId="24">
    <w:abstractNumId w:val="25"/>
  </w:num>
  <w:num w:numId="25">
    <w:abstractNumId w:val="4"/>
  </w:num>
  <w:num w:numId="26">
    <w:abstractNumId w:val="12"/>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36F7E"/>
    <w:rsid w:val="00045C9C"/>
    <w:rsid w:val="00045F47"/>
    <w:rsid w:val="00047282"/>
    <w:rsid w:val="0007311D"/>
    <w:rsid w:val="00075D61"/>
    <w:rsid w:val="00085169"/>
    <w:rsid w:val="00086319"/>
    <w:rsid w:val="0009316E"/>
    <w:rsid w:val="00093ACC"/>
    <w:rsid w:val="000948DB"/>
    <w:rsid w:val="00095936"/>
    <w:rsid w:val="000969D5"/>
    <w:rsid w:val="000A267E"/>
    <w:rsid w:val="000A6CE7"/>
    <w:rsid w:val="000B65C7"/>
    <w:rsid w:val="000C38EE"/>
    <w:rsid w:val="000D2F1B"/>
    <w:rsid w:val="000D32EB"/>
    <w:rsid w:val="000E20AF"/>
    <w:rsid w:val="000E33BA"/>
    <w:rsid w:val="000E33FB"/>
    <w:rsid w:val="000E7ED5"/>
    <w:rsid w:val="000F6CC2"/>
    <w:rsid w:val="000F750C"/>
    <w:rsid w:val="00100BDA"/>
    <w:rsid w:val="00102353"/>
    <w:rsid w:val="00103B57"/>
    <w:rsid w:val="00103CFF"/>
    <w:rsid w:val="001050DC"/>
    <w:rsid w:val="00106523"/>
    <w:rsid w:val="00114EE0"/>
    <w:rsid w:val="0012627D"/>
    <w:rsid w:val="00131A55"/>
    <w:rsid w:val="001325F4"/>
    <w:rsid w:val="001338DB"/>
    <w:rsid w:val="00142015"/>
    <w:rsid w:val="00142599"/>
    <w:rsid w:val="00142D0C"/>
    <w:rsid w:val="00146F55"/>
    <w:rsid w:val="00147C5F"/>
    <w:rsid w:val="001511F9"/>
    <w:rsid w:val="00152760"/>
    <w:rsid w:val="00155AE9"/>
    <w:rsid w:val="0016587B"/>
    <w:rsid w:val="00165988"/>
    <w:rsid w:val="00167C23"/>
    <w:rsid w:val="0017244E"/>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344F"/>
    <w:rsid w:val="00203677"/>
    <w:rsid w:val="002064DA"/>
    <w:rsid w:val="00220DA8"/>
    <w:rsid w:val="00223EA8"/>
    <w:rsid w:val="0023663F"/>
    <w:rsid w:val="00245527"/>
    <w:rsid w:val="00250BA2"/>
    <w:rsid w:val="00262F29"/>
    <w:rsid w:val="0026487A"/>
    <w:rsid w:val="00265358"/>
    <w:rsid w:val="00265D9A"/>
    <w:rsid w:val="00273328"/>
    <w:rsid w:val="002820AB"/>
    <w:rsid w:val="00282D6C"/>
    <w:rsid w:val="00285430"/>
    <w:rsid w:val="002A1224"/>
    <w:rsid w:val="002A19B6"/>
    <w:rsid w:val="002A3009"/>
    <w:rsid w:val="002A564B"/>
    <w:rsid w:val="002A7E38"/>
    <w:rsid w:val="002B01D3"/>
    <w:rsid w:val="002C0149"/>
    <w:rsid w:val="002C36E5"/>
    <w:rsid w:val="002C69C9"/>
    <w:rsid w:val="002D359B"/>
    <w:rsid w:val="002D4089"/>
    <w:rsid w:val="002D6158"/>
    <w:rsid w:val="002F551D"/>
    <w:rsid w:val="003107A7"/>
    <w:rsid w:val="00310975"/>
    <w:rsid w:val="00314A98"/>
    <w:rsid w:val="00320511"/>
    <w:rsid w:val="00322CCA"/>
    <w:rsid w:val="003327F2"/>
    <w:rsid w:val="003367F4"/>
    <w:rsid w:val="00336D99"/>
    <w:rsid w:val="00343BB5"/>
    <w:rsid w:val="00345413"/>
    <w:rsid w:val="00353A88"/>
    <w:rsid w:val="00367F43"/>
    <w:rsid w:val="0037168C"/>
    <w:rsid w:val="00377F06"/>
    <w:rsid w:val="00382EDF"/>
    <w:rsid w:val="00386B3D"/>
    <w:rsid w:val="0039221F"/>
    <w:rsid w:val="00393349"/>
    <w:rsid w:val="003937AD"/>
    <w:rsid w:val="003A1305"/>
    <w:rsid w:val="003A234F"/>
    <w:rsid w:val="003A35D1"/>
    <w:rsid w:val="003A5CDA"/>
    <w:rsid w:val="003A6D30"/>
    <w:rsid w:val="003B2F92"/>
    <w:rsid w:val="003B47D3"/>
    <w:rsid w:val="003B509C"/>
    <w:rsid w:val="003B5271"/>
    <w:rsid w:val="003B5B33"/>
    <w:rsid w:val="003B62B4"/>
    <w:rsid w:val="003B7A94"/>
    <w:rsid w:val="003C28EE"/>
    <w:rsid w:val="003C747F"/>
    <w:rsid w:val="003E1FFC"/>
    <w:rsid w:val="003E3F4D"/>
    <w:rsid w:val="003E4DE9"/>
    <w:rsid w:val="003E6164"/>
    <w:rsid w:val="003F4923"/>
    <w:rsid w:val="004022C2"/>
    <w:rsid w:val="004031B0"/>
    <w:rsid w:val="004104A8"/>
    <w:rsid w:val="00410BEF"/>
    <w:rsid w:val="00414E36"/>
    <w:rsid w:val="00416FCC"/>
    <w:rsid w:val="00421BE2"/>
    <w:rsid w:val="004242C5"/>
    <w:rsid w:val="004265B6"/>
    <w:rsid w:val="004272DB"/>
    <w:rsid w:val="00427466"/>
    <w:rsid w:val="004277EE"/>
    <w:rsid w:val="00431015"/>
    <w:rsid w:val="0043387C"/>
    <w:rsid w:val="00434783"/>
    <w:rsid w:val="00440DC9"/>
    <w:rsid w:val="00451FDA"/>
    <w:rsid w:val="00456A9F"/>
    <w:rsid w:val="004610E8"/>
    <w:rsid w:val="00462574"/>
    <w:rsid w:val="00463BC2"/>
    <w:rsid w:val="00464F70"/>
    <w:rsid w:val="004713CE"/>
    <w:rsid w:val="004746BE"/>
    <w:rsid w:val="0047613B"/>
    <w:rsid w:val="004832B0"/>
    <w:rsid w:val="00483405"/>
    <w:rsid w:val="00494C82"/>
    <w:rsid w:val="004A3FD4"/>
    <w:rsid w:val="004B03A1"/>
    <w:rsid w:val="004B219C"/>
    <w:rsid w:val="004B3F79"/>
    <w:rsid w:val="004C1AD1"/>
    <w:rsid w:val="004C5917"/>
    <w:rsid w:val="004C6B87"/>
    <w:rsid w:val="004E6B3D"/>
    <w:rsid w:val="004F6ECF"/>
    <w:rsid w:val="0050153C"/>
    <w:rsid w:val="005025FE"/>
    <w:rsid w:val="0050450E"/>
    <w:rsid w:val="005136AB"/>
    <w:rsid w:val="005201E0"/>
    <w:rsid w:val="00523149"/>
    <w:rsid w:val="0053243C"/>
    <w:rsid w:val="0053307C"/>
    <w:rsid w:val="00534D59"/>
    <w:rsid w:val="005366F4"/>
    <w:rsid w:val="00545BF8"/>
    <w:rsid w:val="005534D9"/>
    <w:rsid w:val="00560A7A"/>
    <w:rsid w:val="00570375"/>
    <w:rsid w:val="00570606"/>
    <w:rsid w:val="00571727"/>
    <w:rsid w:val="00572ACA"/>
    <w:rsid w:val="00574AF2"/>
    <w:rsid w:val="0058443D"/>
    <w:rsid w:val="00585363"/>
    <w:rsid w:val="00595F5F"/>
    <w:rsid w:val="005A42B3"/>
    <w:rsid w:val="005A4860"/>
    <w:rsid w:val="005B3F84"/>
    <w:rsid w:val="005B5337"/>
    <w:rsid w:val="005C52BE"/>
    <w:rsid w:val="005D0C18"/>
    <w:rsid w:val="005D3024"/>
    <w:rsid w:val="005D4DAA"/>
    <w:rsid w:val="005D56DA"/>
    <w:rsid w:val="005D71EC"/>
    <w:rsid w:val="005E2C94"/>
    <w:rsid w:val="005E362F"/>
    <w:rsid w:val="005E5427"/>
    <w:rsid w:val="005F0CD7"/>
    <w:rsid w:val="005F1EA6"/>
    <w:rsid w:val="005F366F"/>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30310"/>
    <w:rsid w:val="0063405C"/>
    <w:rsid w:val="006437FF"/>
    <w:rsid w:val="00643CDE"/>
    <w:rsid w:val="00653944"/>
    <w:rsid w:val="006606C6"/>
    <w:rsid w:val="00660B22"/>
    <w:rsid w:val="00664198"/>
    <w:rsid w:val="0067197F"/>
    <w:rsid w:val="0067659E"/>
    <w:rsid w:val="00676996"/>
    <w:rsid w:val="00677B13"/>
    <w:rsid w:val="006955DC"/>
    <w:rsid w:val="006A109C"/>
    <w:rsid w:val="006A2917"/>
    <w:rsid w:val="006A31DC"/>
    <w:rsid w:val="006B07F5"/>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113"/>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5A96"/>
    <w:rsid w:val="00806F99"/>
    <w:rsid w:val="008072D1"/>
    <w:rsid w:val="00807724"/>
    <w:rsid w:val="00812E4D"/>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8F7701"/>
    <w:rsid w:val="009006FC"/>
    <w:rsid w:val="00903DEA"/>
    <w:rsid w:val="0090593C"/>
    <w:rsid w:val="009063B4"/>
    <w:rsid w:val="00912C82"/>
    <w:rsid w:val="00914596"/>
    <w:rsid w:val="00920D0B"/>
    <w:rsid w:val="009242D9"/>
    <w:rsid w:val="009248C3"/>
    <w:rsid w:val="009275F8"/>
    <w:rsid w:val="009321FE"/>
    <w:rsid w:val="00934BF1"/>
    <w:rsid w:val="00950F23"/>
    <w:rsid w:val="00963BEA"/>
    <w:rsid w:val="00970363"/>
    <w:rsid w:val="00970784"/>
    <w:rsid w:val="009768AC"/>
    <w:rsid w:val="009805A6"/>
    <w:rsid w:val="00981E8E"/>
    <w:rsid w:val="00985898"/>
    <w:rsid w:val="00986D52"/>
    <w:rsid w:val="00991E54"/>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2B75"/>
    <w:rsid w:val="00A34171"/>
    <w:rsid w:val="00A35831"/>
    <w:rsid w:val="00A407E9"/>
    <w:rsid w:val="00A471EA"/>
    <w:rsid w:val="00A510C0"/>
    <w:rsid w:val="00A575D3"/>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176D"/>
    <w:rsid w:val="00AF2210"/>
    <w:rsid w:val="00AF330A"/>
    <w:rsid w:val="00B017A3"/>
    <w:rsid w:val="00B03B65"/>
    <w:rsid w:val="00B06010"/>
    <w:rsid w:val="00B1229D"/>
    <w:rsid w:val="00B23EE6"/>
    <w:rsid w:val="00B256B5"/>
    <w:rsid w:val="00B31125"/>
    <w:rsid w:val="00B3390D"/>
    <w:rsid w:val="00B41D07"/>
    <w:rsid w:val="00B4317D"/>
    <w:rsid w:val="00B4759A"/>
    <w:rsid w:val="00B634B1"/>
    <w:rsid w:val="00B64272"/>
    <w:rsid w:val="00B64531"/>
    <w:rsid w:val="00B74B8A"/>
    <w:rsid w:val="00B74D4F"/>
    <w:rsid w:val="00B8155C"/>
    <w:rsid w:val="00B932A7"/>
    <w:rsid w:val="00B95BAE"/>
    <w:rsid w:val="00BA4EF4"/>
    <w:rsid w:val="00BB3138"/>
    <w:rsid w:val="00BB3826"/>
    <w:rsid w:val="00BB6455"/>
    <w:rsid w:val="00BB73BD"/>
    <w:rsid w:val="00BC12AE"/>
    <w:rsid w:val="00BC67B9"/>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87DE6"/>
    <w:rsid w:val="00C93F76"/>
    <w:rsid w:val="00C96AB6"/>
    <w:rsid w:val="00CA1801"/>
    <w:rsid w:val="00CA3B88"/>
    <w:rsid w:val="00CA4E1A"/>
    <w:rsid w:val="00CA5A78"/>
    <w:rsid w:val="00CA5C99"/>
    <w:rsid w:val="00CB6FA6"/>
    <w:rsid w:val="00CC6C6B"/>
    <w:rsid w:val="00CC797E"/>
    <w:rsid w:val="00CD6174"/>
    <w:rsid w:val="00CE1EE1"/>
    <w:rsid w:val="00CE38E3"/>
    <w:rsid w:val="00CE57C8"/>
    <w:rsid w:val="00CE5C9C"/>
    <w:rsid w:val="00CE73ED"/>
    <w:rsid w:val="00CF4A67"/>
    <w:rsid w:val="00CF6DE3"/>
    <w:rsid w:val="00D01632"/>
    <w:rsid w:val="00D024D9"/>
    <w:rsid w:val="00D0311C"/>
    <w:rsid w:val="00D1043D"/>
    <w:rsid w:val="00D10B90"/>
    <w:rsid w:val="00D119C3"/>
    <w:rsid w:val="00D20C1B"/>
    <w:rsid w:val="00D21DC4"/>
    <w:rsid w:val="00D25928"/>
    <w:rsid w:val="00D25CDB"/>
    <w:rsid w:val="00D260D1"/>
    <w:rsid w:val="00D37213"/>
    <w:rsid w:val="00D50250"/>
    <w:rsid w:val="00D56774"/>
    <w:rsid w:val="00D56BE6"/>
    <w:rsid w:val="00D575CA"/>
    <w:rsid w:val="00D60658"/>
    <w:rsid w:val="00D649D9"/>
    <w:rsid w:val="00D66831"/>
    <w:rsid w:val="00D66FB8"/>
    <w:rsid w:val="00D72569"/>
    <w:rsid w:val="00D745F5"/>
    <w:rsid w:val="00D77C93"/>
    <w:rsid w:val="00D85C8C"/>
    <w:rsid w:val="00D92EC2"/>
    <w:rsid w:val="00D94CE5"/>
    <w:rsid w:val="00D94F09"/>
    <w:rsid w:val="00D95EBF"/>
    <w:rsid w:val="00D97889"/>
    <w:rsid w:val="00D9788A"/>
    <w:rsid w:val="00DA2DD2"/>
    <w:rsid w:val="00DA7496"/>
    <w:rsid w:val="00DA770A"/>
    <w:rsid w:val="00DB3994"/>
    <w:rsid w:val="00DB5508"/>
    <w:rsid w:val="00DC1434"/>
    <w:rsid w:val="00DC3412"/>
    <w:rsid w:val="00DC34DF"/>
    <w:rsid w:val="00DC4071"/>
    <w:rsid w:val="00DD2A0D"/>
    <w:rsid w:val="00DD36CD"/>
    <w:rsid w:val="00DE10C1"/>
    <w:rsid w:val="00DF270B"/>
    <w:rsid w:val="00DF285B"/>
    <w:rsid w:val="00DF36AC"/>
    <w:rsid w:val="00DF637D"/>
    <w:rsid w:val="00DF6D64"/>
    <w:rsid w:val="00E041E4"/>
    <w:rsid w:val="00E11A04"/>
    <w:rsid w:val="00E14169"/>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BC3"/>
    <w:rsid w:val="00E63DE2"/>
    <w:rsid w:val="00E66E08"/>
    <w:rsid w:val="00E71E09"/>
    <w:rsid w:val="00E72BB5"/>
    <w:rsid w:val="00E8292C"/>
    <w:rsid w:val="00E8471F"/>
    <w:rsid w:val="00E91F09"/>
    <w:rsid w:val="00E927FC"/>
    <w:rsid w:val="00E967EB"/>
    <w:rsid w:val="00EA09CD"/>
    <w:rsid w:val="00EA410B"/>
    <w:rsid w:val="00EB4632"/>
    <w:rsid w:val="00EB6E2E"/>
    <w:rsid w:val="00EC09AC"/>
    <w:rsid w:val="00EC1320"/>
    <w:rsid w:val="00EC6AA7"/>
    <w:rsid w:val="00ED5843"/>
    <w:rsid w:val="00EE2524"/>
    <w:rsid w:val="00EF3956"/>
    <w:rsid w:val="00EF4501"/>
    <w:rsid w:val="00EF740E"/>
    <w:rsid w:val="00F04DCF"/>
    <w:rsid w:val="00F073D4"/>
    <w:rsid w:val="00F10C10"/>
    <w:rsid w:val="00F14C7D"/>
    <w:rsid w:val="00F174AB"/>
    <w:rsid w:val="00F23093"/>
    <w:rsid w:val="00F30444"/>
    <w:rsid w:val="00F35FAE"/>
    <w:rsid w:val="00F361BB"/>
    <w:rsid w:val="00F3776D"/>
    <w:rsid w:val="00F4548F"/>
    <w:rsid w:val="00F55627"/>
    <w:rsid w:val="00F56EB8"/>
    <w:rsid w:val="00F60C5D"/>
    <w:rsid w:val="00F61210"/>
    <w:rsid w:val="00F62691"/>
    <w:rsid w:val="00F76812"/>
    <w:rsid w:val="00F76C2B"/>
    <w:rsid w:val="00F82E3A"/>
    <w:rsid w:val="00F84D1A"/>
    <w:rsid w:val="00F85C2F"/>
    <w:rsid w:val="00F90859"/>
    <w:rsid w:val="00F9169E"/>
    <w:rsid w:val="00FA6051"/>
    <w:rsid w:val="00FB0EAC"/>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25B4A"/>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Titre1">
    <w:name w:val="heading 1"/>
    <w:basedOn w:val="Normal"/>
    <w:next w:val="Normal"/>
    <w:link w:val="Titre1C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re5">
    <w:name w:val="heading 5"/>
    <w:basedOn w:val="Normal"/>
    <w:next w:val="Normal"/>
    <w:link w:val="Titre5C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re7">
    <w:name w:val="heading 7"/>
    <w:basedOn w:val="Normal"/>
    <w:next w:val="Normal"/>
    <w:link w:val="Titre7C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re8">
    <w:name w:val="heading 8"/>
    <w:basedOn w:val="Normal"/>
    <w:next w:val="Normal"/>
    <w:link w:val="Titre8C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85C1CC"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677B13"/>
    <w:pPr>
      <w:spacing w:line="120" w:lineRule="exact"/>
      <w:ind w:left="0"/>
    </w:pPr>
    <w:rPr>
      <w:sz w:val="11"/>
    </w:rPr>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677B13"/>
    <w:rPr>
      <w:rFonts w:ascii="Arial" w:hAnsi="Arial"/>
      <w:sz w:val="11"/>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Titre1Car">
    <w:name w:val="Titre 1 Car"/>
    <w:basedOn w:val="Policepardfaut"/>
    <w:link w:val="Titre1"/>
    <w:uiPriority w:val="9"/>
    <w:rsid w:val="00377F06"/>
    <w:rPr>
      <w:rFonts w:ascii="Arial" w:eastAsiaTheme="majorEastAsia" w:hAnsi="Arial" w:cstheme="majorBidi"/>
      <w:b/>
      <w:color w:val="000000" w:themeColor="text1"/>
      <w:sz w:val="32"/>
      <w:szCs w:val="32"/>
    </w:rPr>
  </w:style>
  <w:style w:type="paragraph" w:styleId="Sous-titre">
    <w:name w:val="Subtitle"/>
    <w:basedOn w:val="TextohneEinzug"/>
    <w:next w:val="Normal"/>
    <w:link w:val="Sous-titreC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re2Car">
    <w:name w:val="Titre 2 Car"/>
    <w:basedOn w:val="Policepardfaut"/>
    <w:link w:val="Titre2"/>
    <w:uiPriority w:val="9"/>
    <w:rsid w:val="00377F06"/>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377F06"/>
    <w:rPr>
      <w:rFonts w:ascii="Arial" w:eastAsiaTheme="majorEastAsia" w:hAnsi="Arial" w:cstheme="majorBidi"/>
      <w:b/>
      <w:color w:val="000000" w:themeColor="text1"/>
      <w:sz w:val="24"/>
      <w:szCs w:val="24"/>
    </w:rPr>
  </w:style>
  <w:style w:type="character" w:customStyle="1" w:styleId="Titre4Car">
    <w:name w:val="Titre 4 Car"/>
    <w:basedOn w:val="Policepardfaut"/>
    <w:link w:val="Titre4"/>
    <w:uiPriority w:val="9"/>
    <w:rsid w:val="00377F06"/>
    <w:rPr>
      <w:rFonts w:ascii="Arial" w:eastAsiaTheme="majorEastAsia" w:hAnsi="Arial" w:cstheme="majorBidi"/>
      <w:b/>
      <w:iCs/>
      <w:color w:val="000000" w:themeColor="text1"/>
      <w:sz w:val="20"/>
    </w:rPr>
  </w:style>
  <w:style w:type="character" w:customStyle="1" w:styleId="Titre5Car">
    <w:name w:val="Titre 5 Car"/>
    <w:basedOn w:val="Policepardfaut"/>
    <w:link w:val="Titre5"/>
    <w:uiPriority w:val="9"/>
    <w:rsid w:val="00377F06"/>
    <w:rPr>
      <w:rFonts w:ascii="Arial" w:eastAsiaTheme="majorEastAsia" w:hAnsi="Arial" w:cstheme="majorBidi"/>
      <w:b/>
      <w:color w:val="000000" w:themeColor="text1"/>
      <w:sz w:val="20"/>
    </w:rPr>
  </w:style>
  <w:style w:type="character" w:customStyle="1" w:styleId="Titre6Car">
    <w:name w:val="Titre 6 Car"/>
    <w:basedOn w:val="Policepardfaut"/>
    <w:link w:val="Titre6"/>
    <w:uiPriority w:val="9"/>
    <w:semiHidden/>
    <w:rsid w:val="00677B13"/>
    <w:rPr>
      <w:rFonts w:asciiTheme="majorHAnsi" w:eastAsiaTheme="majorEastAsia" w:hAnsiTheme="majorHAnsi" w:cstheme="majorBidi"/>
      <w:color w:val="5F020C" w:themeColor="accent1" w:themeShade="7F"/>
      <w:sz w:val="20"/>
    </w:rPr>
  </w:style>
  <w:style w:type="character" w:customStyle="1" w:styleId="Titre7Car">
    <w:name w:val="Titre 7 Car"/>
    <w:basedOn w:val="Policepardfaut"/>
    <w:link w:val="Titre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re8Car">
    <w:name w:val="Titre 8 Car"/>
    <w:basedOn w:val="Policepardfaut"/>
    <w:link w:val="Titre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7B13"/>
    <w:rPr>
      <w:rFonts w:asciiTheme="majorHAnsi" w:eastAsiaTheme="majorEastAsia" w:hAnsiTheme="majorHAnsi" w:cstheme="majorBidi"/>
      <w:i/>
      <w:iCs/>
      <w:color w:val="272727" w:themeColor="text1" w:themeTint="D8"/>
      <w:sz w:val="21"/>
      <w:szCs w:val="21"/>
    </w:rPr>
  </w:style>
  <w:style w:type="table" w:styleId="TableauGrille5Fonc-Accentuation3">
    <w:name w:val="Grid Table 5 Dark Accent 3"/>
    <w:basedOn w:val="Tableau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re">
    <w:name w:val="Title"/>
    <w:basedOn w:val="Normal"/>
    <w:next w:val="TextohneEinzug"/>
    <w:link w:val="TitreC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reCar">
    <w:name w:val="Titre Car"/>
    <w:basedOn w:val="Policepardfaut"/>
    <w:link w:val="Titre"/>
    <w:uiPriority w:val="10"/>
    <w:rsid w:val="00015103"/>
    <w:rPr>
      <w:rFonts w:ascii="Arial" w:eastAsiaTheme="majorEastAsia" w:hAnsi="Arial" w:cstheme="majorBidi"/>
      <w:b/>
      <w:spacing w:val="40"/>
      <w:kern w:val="28"/>
      <w:sz w:val="56"/>
      <w:szCs w:val="56"/>
    </w:rPr>
  </w:style>
  <w:style w:type="paragraph" w:styleId="Paragraphedeliste">
    <w:name w:val="List Paragraph"/>
    <w:basedOn w:val="Normal"/>
    <w:link w:val="ParagraphedelisteCar"/>
    <w:uiPriority w:val="34"/>
    <w:rsid w:val="00FD25D7"/>
    <w:pPr>
      <w:ind w:left="720"/>
      <w:contextualSpacing/>
    </w:pPr>
  </w:style>
  <w:style w:type="paragraph" w:customStyle="1" w:styleId="Listenebene1">
    <w:name w:val="Listenebene 1"/>
    <w:basedOn w:val="Paragraphedeliste"/>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phedelisteCar">
    <w:name w:val="Paragraphe de liste Car"/>
    <w:basedOn w:val="Policepardfaut"/>
    <w:link w:val="Paragraphedeliste"/>
    <w:uiPriority w:val="34"/>
    <w:rsid w:val="00FD25D7"/>
    <w:rPr>
      <w:rFonts w:ascii="Arial" w:hAnsi="Arial"/>
      <w:sz w:val="20"/>
    </w:rPr>
  </w:style>
  <w:style w:type="character" w:customStyle="1" w:styleId="Listenebene1Zchn">
    <w:name w:val="Listenebene 1 Zchn"/>
    <w:basedOn w:val="ParagraphedelisteC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En-ttedetabledesmatires">
    <w:name w:val="TOC Heading"/>
    <w:basedOn w:val="Titre1"/>
    <w:next w:val="Normal"/>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TM1">
    <w:name w:val="toc 1"/>
    <w:basedOn w:val="Normal"/>
    <w:next w:val="Normal"/>
    <w:autoRedefine/>
    <w:uiPriority w:val="39"/>
    <w:unhideWhenUsed/>
    <w:rsid w:val="00A510C0"/>
    <w:pPr>
      <w:spacing w:after="100"/>
      <w:ind w:left="0"/>
    </w:pPr>
  </w:style>
  <w:style w:type="paragraph" w:styleId="TM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M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Policepardfau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us-titreCar">
    <w:name w:val="Sous-titre Car"/>
    <w:basedOn w:val="Policepardfaut"/>
    <w:link w:val="Sous-titr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tion">
    <w:name w:val="Quote"/>
    <w:basedOn w:val="Normal"/>
    <w:next w:val="Normal"/>
    <w:link w:val="CitationC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tionCar">
    <w:name w:val="Citation Car"/>
    <w:basedOn w:val="Policepardfaut"/>
    <w:link w:val="Citation"/>
    <w:uiPriority w:val="29"/>
    <w:rsid w:val="00E66E08"/>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tionintenseCar">
    <w:name w:val="Citation intense Car"/>
    <w:basedOn w:val="Policepardfaut"/>
    <w:link w:val="Citationintense"/>
    <w:uiPriority w:val="30"/>
    <w:rsid w:val="00E66E08"/>
    <w:rPr>
      <w:rFonts w:ascii="Arial" w:hAnsi="Arial"/>
      <w:i/>
      <w:iCs/>
      <w:color w:val="C00418" w:themeColor="accent1"/>
      <w:sz w:val="20"/>
    </w:rPr>
  </w:style>
  <w:style w:type="character" w:styleId="Rfrenceple">
    <w:name w:val="Subtle Reference"/>
    <w:basedOn w:val="Policepardfaut"/>
    <w:uiPriority w:val="31"/>
    <w:rsid w:val="00E66E08"/>
    <w:rPr>
      <w:smallCaps/>
      <w:color w:val="5A5A5A" w:themeColor="text1" w:themeTint="A5"/>
    </w:rPr>
  </w:style>
  <w:style w:type="character" w:styleId="Rfrenceintense">
    <w:name w:val="Intense Reference"/>
    <w:basedOn w:val="Policepardfaut"/>
    <w:uiPriority w:val="32"/>
    <w:rsid w:val="00E66E08"/>
    <w:rPr>
      <w:b/>
      <w:bCs/>
      <w:smallCaps/>
      <w:color w:val="C00418" w:themeColor="accent1"/>
      <w:spacing w:val="5"/>
    </w:rPr>
  </w:style>
  <w:style w:type="character" w:styleId="Titredulivre">
    <w:name w:val="Book Title"/>
    <w:basedOn w:val="Policepardfaut"/>
    <w:uiPriority w:val="33"/>
    <w:rsid w:val="00E66E08"/>
    <w:rPr>
      <w:b/>
      <w:bCs/>
      <w:i/>
      <w:iCs/>
      <w:spacing w:val="5"/>
    </w:rPr>
  </w:style>
  <w:style w:type="paragraph" w:customStyle="1" w:styleId="Beschriftungen">
    <w:name w:val="Beschriftungen"/>
    <w:basedOn w:val="En-tte"/>
    <w:link w:val="BeschriftungenZchn"/>
    <w:qFormat/>
    <w:rsid w:val="00E66E08"/>
    <w:rPr>
      <w:sz w:val="16"/>
    </w:rPr>
  </w:style>
  <w:style w:type="paragraph" w:styleId="Lgende">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En-tteC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En-tt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En-tteCar"/>
    <w:link w:val="Dokumententitel"/>
    <w:rsid w:val="00C54F6A"/>
    <w:rPr>
      <w:rFonts w:ascii="Arial" w:hAnsi="Arial"/>
      <w:noProof/>
      <w:color w:val="C00418" w:themeColor="accent1"/>
      <w:sz w:val="48"/>
      <w:lang w:val="de-AT" w:eastAsia="zh-CN"/>
    </w:rPr>
  </w:style>
  <w:style w:type="paragraph" w:styleId="NormalWeb">
    <w:name w:val="Normal (Web)"/>
    <w:basedOn w:val="Normal"/>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F2E3-83FE-4DFE-B43D-E843378C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936</Words>
  <Characters>5153</Characters>
  <Application>Microsoft Office Word</Application>
  <DocSecurity>0</DocSecurity>
  <Lines>42</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Sapena Aurelie</cp:lastModifiedBy>
  <cp:revision>3</cp:revision>
  <cp:lastPrinted>2019-02-21T13:46:00Z</cp:lastPrinted>
  <dcterms:created xsi:type="dcterms:W3CDTF">2019-11-12T15:09:00Z</dcterms:created>
  <dcterms:modified xsi:type="dcterms:W3CDTF">2019-11-12T15:27:00Z</dcterms:modified>
</cp:coreProperties>
</file>