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335AD" w14:textId="14A75E2D" w:rsidR="002327A2" w:rsidRDefault="002327A2" w:rsidP="00B34DB2">
      <w:pPr>
        <w:spacing w:line="360" w:lineRule="auto"/>
        <w:ind w:left="0" w:right="1693"/>
        <w:rPr>
          <w:rFonts w:cs="Arial"/>
          <w:b/>
          <w:sz w:val="28"/>
          <w:szCs w:val="28"/>
          <w:lang w:val="es-ES"/>
        </w:rPr>
      </w:pPr>
      <w:bookmarkStart w:id="0" w:name="_GoBack"/>
      <w:bookmarkEnd w:id="0"/>
    </w:p>
    <w:p w14:paraId="73D4A1A3" w14:textId="77777777" w:rsidR="00F96425" w:rsidRPr="00670531" w:rsidRDefault="00F96425" w:rsidP="00B34DB2">
      <w:pPr>
        <w:spacing w:line="360" w:lineRule="auto"/>
        <w:ind w:left="0" w:right="1693"/>
        <w:rPr>
          <w:rFonts w:cs="Arial"/>
          <w:b/>
          <w:sz w:val="28"/>
          <w:szCs w:val="28"/>
          <w:lang w:val="es-ES"/>
        </w:rPr>
      </w:pPr>
    </w:p>
    <w:p w14:paraId="7E2EE4D7" w14:textId="50DEF495" w:rsidR="0073741E" w:rsidRPr="00670531" w:rsidRDefault="0073167A" w:rsidP="00FD17B6">
      <w:pPr>
        <w:spacing w:line="360" w:lineRule="auto"/>
        <w:ind w:left="0" w:right="1693"/>
        <w:jc w:val="left"/>
        <w:rPr>
          <w:rFonts w:cs="Arial"/>
          <w:b/>
          <w:sz w:val="28"/>
          <w:szCs w:val="28"/>
          <w:lang w:val="es-ES"/>
        </w:rPr>
      </w:pPr>
      <w:r w:rsidRPr="00670531">
        <w:rPr>
          <w:rFonts w:cs="Arial"/>
          <w:b/>
          <w:sz w:val="28"/>
          <w:szCs w:val="28"/>
          <w:lang w:val="es-ES"/>
        </w:rPr>
        <w:t>Análisis inteligente de datos: la nueva aplicación web de TGW ayuda en la optimización</w:t>
      </w:r>
    </w:p>
    <w:p w14:paraId="680E18BE" w14:textId="77777777" w:rsidR="00315732" w:rsidRPr="00670531" w:rsidRDefault="00315732" w:rsidP="00B34DB2">
      <w:pPr>
        <w:spacing w:line="360" w:lineRule="auto"/>
        <w:ind w:left="0" w:right="1693"/>
        <w:rPr>
          <w:rFonts w:cs="Arial"/>
          <w:b/>
          <w:sz w:val="18"/>
          <w:szCs w:val="18"/>
          <w:lang w:val="es-ES"/>
        </w:rPr>
      </w:pPr>
    </w:p>
    <w:p w14:paraId="7FD82EF9" w14:textId="62C3C8AE" w:rsidR="00222AA7" w:rsidRPr="00670531" w:rsidRDefault="006D27DD" w:rsidP="00C42B3C">
      <w:pPr>
        <w:pStyle w:val="Listenabsatz"/>
        <w:numPr>
          <w:ilvl w:val="0"/>
          <w:numId w:val="21"/>
        </w:numPr>
        <w:spacing w:line="360" w:lineRule="auto"/>
        <w:ind w:right="1693"/>
        <w:jc w:val="left"/>
        <w:rPr>
          <w:rFonts w:cs="Arial"/>
          <w:b/>
          <w:sz w:val="24"/>
          <w:szCs w:val="24"/>
          <w:lang w:val="es-ES"/>
        </w:rPr>
      </w:pPr>
      <w:r w:rsidRPr="00670531">
        <w:rPr>
          <w:rFonts w:cs="Arial"/>
          <w:b/>
          <w:sz w:val="24"/>
          <w:szCs w:val="24"/>
          <w:lang w:val="es-ES"/>
        </w:rPr>
        <w:t>El Data Analysis and Reporting Dashboard permite obtener una vista de conjunto sencilla del todo el sistema</w:t>
      </w:r>
    </w:p>
    <w:p w14:paraId="238F13A0" w14:textId="3DD07568" w:rsidR="00060901" w:rsidRPr="00670531" w:rsidRDefault="00F4623F" w:rsidP="00C42B3C">
      <w:pPr>
        <w:pStyle w:val="Listenabsatz"/>
        <w:numPr>
          <w:ilvl w:val="0"/>
          <w:numId w:val="21"/>
        </w:numPr>
        <w:spacing w:line="360" w:lineRule="auto"/>
        <w:ind w:right="1693"/>
        <w:jc w:val="left"/>
        <w:rPr>
          <w:rFonts w:cs="Arial"/>
          <w:b/>
          <w:sz w:val="24"/>
          <w:szCs w:val="24"/>
          <w:lang w:val="es-ES"/>
        </w:rPr>
      </w:pPr>
      <w:r w:rsidRPr="00670531">
        <w:rPr>
          <w:rFonts w:cs="Arial"/>
          <w:b/>
          <w:sz w:val="24"/>
          <w:szCs w:val="24"/>
          <w:lang w:val="es-ES"/>
        </w:rPr>
        <w:t>La aplicación web de Lifetime Services se implementa rápidamente y puede utilizarse incluso en proyectos de retrofit</w:t>
      </w:r>
    </w:p>
    <w:p w14:paraId="30B2C4EB" w14:textId="64BEE9D2" w:rsidR="00AE2646" w:rsidRPr="00670531" w:rsidRDefault="00F86EE6" w:rsidP="00C42B3C">
      <w:pPr>
        <w:pStyle w:val="Listenabsatz"/>
        <w:numPr>
          <w:ilvl w:val="0"/>
          <w:numId w:val="21"/>
        </w:numPr>
        <w:spacing w:line="360" w:lineRule="auto"/>
        <w:ind w:right="1693"/>
        <w:jc w:val="left"/>
        <w:rPr>
          <w:rFonts w:cs="Arial"/>
          <w:b/>
          <w:sz w:val="24"/>
          <w:szCs w:val="24"/>
          <w:lang w:val="es-ES"/>
        </w:rPr>
      </w:pPr>
      <w:r w:rsidRPr="00670531">
        <w:rPr>
          <w:rFonts w:cs="Arial"/>
          <w:b/>
          <w:sz w:val="24"/>
          <w:szCs w:val="24"/>
          <w:lang w:val="es-ES"/>
        </w:rPr>
        <w:t>La herramienta se basa en la dilatada experiencia de TGW</w:t>
      </w:r>
    </w:p>
    <w:p w14:paraId="23B81BA7" w14:textId="77777777" w:rsidR="00E26207" w:rsidRPr="00670531" w:rsidRDefault="00E26207" w:rsidP="00B34DB2">
      <w:pPr>
        <w:spacing w:line="360" w:lineRule="auto"/>
        <w:ind w:left="0" w:right="1693"/>
        <w:rPr>
          <w:rFonts w:cs="Arial"/>
          <w:b/>
          <w:szCs w:val="20"/>
          <w:lang w:val="es-ES"/>
        </w:rPr>
      </w:pPr>
    </w:p>
    <w:p w14:paraId="15D187A4" w14:textId="023EE411" w:rsidR="00487C26" w:rsidRPr="00670531" w:rsidRDefault="00EF32D1" w:rsidP="008B7BC1">
      <w:pPr>
        <w:spacing w:line="360" w:lineRule="auto"/>
        <w:ind w:left="0" w:right="1693"/>
        <w:rPr>
          <w:rFonts w:cs="Arial"/>
          <w:b/>
          <w:szCs w:val="20"/>
          <w:lang w:val="es-ES"/>
        </w:rPr>
      </w:pPr>
      <w:r w:rsidRPr="00670531">
        <w:rPr>
          <w:rFonts w:cs="Arial"/>
          <w:b/>
          <w:szCs w:val="20"/>
          <w:lang w:val="es-ES"/>
        </w:rPr>
        <w:t xml:space="preserve">(Marchtrenk, </w:t>
      </w:r>
      <w:r w:rsidR="00EA5D5A">
        <w:rPr>
          <w:rFonts w:cs="Arial"/>
          <w:b/>
          <w:szCs w:val="20"/>
          <w:lang w:val="es-ES"/>
        </w:rPr>
        <w:t>17</w:t>
      </w:r>
      <w:r w:rsidRPr="00670531">
        <w:rPr>
          <w:rFonts w:cs="Arial"/>
          <w:b/>
          <w:szCs w:val="20"/>
          <w:lang w:val="es-ES"/>
        </w:rPr>
        <w:t xml:space="preserve"> de abril de 2023) TGW Logistics Group ofrece a clientes nuevos y habituales una innovadora herramienta de visualización que permite optimizar aún más el rendimiento de los sistemas intralogísticos. El panel se puede implementar en poco días y ayuda a entender los datos rápidamente y a aplicar las mejoras correspondientes.</w:t>
      </w:r>
    </w:p>
    <w:p w14:paraId="30184882" w14:textId="77777777" w:rsidR="005939BF" w:rsidRPr="00670531" w:rsidRDefault="005939BF" w:rsidP="00E21B14">
      <w:pPr>
        <w:spacing w:line="360" w:lineRule="auto"/>
        <w:ind w:left="0" w:right="1693"/>
        <w:rPr>
          <w:rFonts w:cs="Arial"/>
          <w:b/>
          <w:szCs w:val="20"/>
          <w:lang w:val="es-ES"/>
        </w:rPr>
      </w:pPr>
    </w:p>
    <w:p w14:paraId="2CE5382B" w14:textId="64F1ACCB" w:rsidR="00577081" w:rsidRPr="00670531" w:rsidRDefault="001B4CD8" w:rsidP="00CC1EEE">
      <w:pPr>
        <w:spacing w:line="360" w:lineRule="auto"/>
        <w:ind w:left="0" w:right="1693"/>
        <w:rPr>
          <w:rFonts w:cs="Arial"/>
          <w:bCs/>
          <w:szCs w:val="20"/>
          <w:lang w:val="es-ES"/>
        </w:rPr>
      </w:pPr>
      <w:r w:rsidRPr="00670531">
        <w:rPr>
          <w:rFonts w:cs="Arial"/>
          <w:bCs/>
          <w:szCs w:val="20"/>
          <w:lang w:val="es-ES"/>
        </w:rPr>
        <w:t>El Data Analysis and Reporting Dashboard muestra el rendimiento global del sistema de un sistema, y en una fracción de segundo. La aplicación permite enlazar datos de numerosas fuentes de software y prepararlos gráficamente: desde el control de recepciones de mercancías hasta el almacenamiento, pasando por clasificadores y escáneres.</w:t>
      </w:r>
    </w:p>
    <w:p w14:paraId="41BEB3EA" w14:textId="270BCB0F" w:rsidR="00577081" w:rsidRPr="00670531" w:rsidRDefault="00577081" w:rsidP="00CC1EEE">
      <w:pPr>
        <w:spacing w:line="360" w:lineRule="auto"/>
        <w:ind w:left="0" w:right="1693"/>
        <w:rPr>
          <w:rFonts w:cs="Arial"/>
          <w:bCs/>
          <w:szCs w:val="20"/>
          <w:lang w:val="es-ES"/>
        </w:rPr>
      </w:pPr>
    </w:p>
    <w:p w14:paraId="0A79C9D5" w14:textId="30891416" w:rsidR="00577081" w:rsidRPr="00670531" w:rsidRDefault="00AA39CB" w:rsidP="00CC1EEE">
      <w:pPr>
        <w:spacing w:line="360" w:lineRule="auto"/>
        <w:ind w:left="0" w:right="1693"/>
        <w:rPr>
          <w:rFonts w:cs="Arial"/>
          <w:b/>
          <w:bCs/>
          <w:szCs w:val="20"/>
          <w:lang w:val="es-ES"/>
        </w:rPr>
      </w:pPr>
      <w:r w:rsidRPr="00670531">
        <w:rPr>
          <w:rFonts w:cs="Arial"/>
          <w:b/>
          <w:bCs/>
          <w:szCs w:val="20"/>
          <w:lang w:val="es-ES"/>
        </w:rPr>
        <w:t>Aumentar el rendimiento del sistema global</w:t>
      </w:r>
    </w:p>
    <w:p w14:paraId="0EF89759" w14:textId="0C3E0DA1" w:rsidR="00577081" w:rsidRPr="00670531" w:rsidRDefault="00577081" w:rsidP="00CC1EEE">
      <w:pPr>
        <w:spacing w:line="360" w:lineRule="auto"/>
        <w:ind w:left="0" w:right="1693"/>
        <w:rPr>
          <w:rFonts w:cs="Arial"/>
          <w:bCs/>
          <w:szCs w:val="20"/>
          <w:lang w:val="es-ES"/>
        </w:rPr>
      </w:pPr>
    </w:p>
    <w:p w14:paraId="2034AAA1" w14:textId="5A054AF7" w:rsidR="00E4000C" w:rsidRPr="00670531" w:rsidRDefault="00E70FCC" w:rsidP="00CC1EEE">
      <w:pPr>
        <w:spacing w:line="360" w:lineRule="auto"/>
        <w:ind w:left="0" w:right="1693"/>
        <w:rPr>
          <w:rFonts w:cs="Arial"/>
          <w:bCs/>
          <w:szCs w:val="20"/>
          <w:lang w:val="es-ES"/>
        </w:rPr>
      </w:pPr>
      <w:r w:rsidRPr="00670531">
        <w:rPr>
          <w:rFonts w:cs="Arial"/>
          <w:bCs/>
          <w:szCs w:val="20"/>
          <w:lang w:val="es-ES"/>
        </w:rPr>
        <w:t>De este modo, es posible identificar y solucionar fallos basándose en los datos, con el fin de aumentar el rendimiento del sistema global. TGW ofrece la innovación en diferentes ámbitos. Por lo general, los especialistas del integrador de sistemas pueden introducir el panel en proyectos nuevos en unos pocos días. En instalaciones existentes, la puesta en marcha puede llevar más tiempo, en función de la antigüedad del software y el hardware. Además, el panel también se puede utilizar en centros logísticos que no hayan sido implementados por TGW.</w:t>
      </w:r>
    </w:p>
    <w:p w14:paraId="124F3C00" w14:textId="77777777" w:rsidR="00E4000C" w:rsidRPr="00670531" w:rsidRDefault="00E4000C" w:rsidP="00CC1EEE">
      <w:pPr>
        <w:spacing w:line="360" w:lineRule="auto"/>
        <w:ind w:left="0" w:right="1693"/>
        <w:rPr>
          <w:rFonts w:cs="Arial"/>
          <w:bCs/>
          <w:szCs w:val="20"/>
          <w:lang w:val="es-ES"/>
        </w:rPr>
      </w:pPr>
    </w:p>
    <w:p w14:paraId="06BA7A60" w14:textId="7E75D243" w:rsidR="00465AAB" w:rsidRDefault="00B44EF8" w:rsidP="00CC1EEE">
      <w:pPr>
        <w:spacing w:line="360" w:lineRule="auto"/>
        <w:ind w:left="0" w:right="1693"/>
        <w:rPr>
          <w:rFonts w:cs="Arial"/>
          <w:bCs/>
          <w:szCs w:val="20"/>
          <w:lang w:val="es-ES"/>
        </w:rPr>
      </w:pPr>
      <w:r w:rsidRPr="00670531">
        <w:rPr>
          <w:rFonts w:cs="Arial"/>
          <w:bCs/>
          <w:szCs w:val="20"/>
          <w:lang w:val="es-ES"/>
        </w:rPr>
        <w:t xml:space="preserve">Los clientes se benefician de numerosas ventajas: no tienen que ocupar sus propios recursos en el desarrollo y funcionamiento de una herramienta, y pueden confiar en los </w:t>
      </w:r>
      <w:r w:rsidRPr="00670531">
        <w:rPr>
          <w:rFonts w:cs="Arial"/>
          <w:bCs/>
          <w:szCs w:val="20"/>
          <w:lang w:val="es-ES"/>
        </w:rPr>
        <w:lastRenderedPageBreak/>
        <w:t>años de experiencia de los expertos de TGW. TGW lleva ya tres años utilizando el panel internamente, y ahora lo ofrece también para los clientes. En caso de preguntas, también dispone del Remote Expert Support, las 24 horas y 365 días del año.</w:t>
      </w:r>
    </w:p>
    <w:p w14:paraId="09104AF4" w14:textId="77777777" w:rsidR="00F96425" w:rsidRPr="00670531" w:rsidRDefault="00F96425" w:rsidP="00CC1EEE">
      <w:pPr>
        <w:spacing w:line="360" w:lineRule="auto"/>
        <w:ind w:left="0" w:right="1693"/>
        <w:rPr>
          <w:rFonts w:cs="Arial"/>
          <w:bCs/>
          <w:szCs w:val="20"/>
          <w:lang w:val="es-ES"/>
        </w:rPr>
      </w:pPr>
    </w:p>
    <w:p w14:paraId="02AA8536" w14:textId="4ADACA24" w:rsidR="00465AAB" w:rsidRPr="00670531" w:rsidRDefault="00314569" w:rsidP="00CC1EEE">
      <w:pPr>
        <w:spacing w:line="360" w:lineRule="auto"/>
        <w:ind w:left="0" w:right="1693"/>
        <w:rPr>
          <w:rFonts w:cs="Arial"/>
          <w:b/>
          <w:bCs/>
          <w:szCs w:val="20"/>
          <w:lang w:val="es-ES"/>
        </w:rPr>
      </w:pPr>
      <w:r w:rsidRPr="00670531">
        <w:rPr>
          <w:rFonts w:cs="Arial"/>
          <w:b/>
          <w:bCs/>
          <w:szCs w:val="20"/>
          <w:lang w:val="es-ES"/>
        </w:rPr>
        <w:t>Los datos son la clave</w:t>
      </w:r>
    </w:p>
    <w:p w14:paraId="5EA1D1B6" w14:textId="77777777" w:rsidR="00E4000C" w:rsidRPr="00670531" w:rsidRDefault="00E4000C" w:rsidP="00CC1EEE">
      <w:pPr>
        <w:spacing w:line="360" w:lineRule="auto"/>
        <w:ind w:left="0" w:right="1693"/>
        <w:rPr>
          <w:rFonts w:cs="Arial"/>
          <w:bCs/>
          <w:szCs w:val="20"/>
          <w:lang w:val="es-ES"/>
        </w:rPr>
      </w:pPr>
    </w:p>
    <w:p w14:paraId="1EC6E079" w14:textId="7B5DBA75" w:rsidR="004551DA" w:rsidRPr="00670531" w:rsidRDefault="004551DA" w:rsidP="00CC1EEE">
      <w:pPr>
        <w:spacing w:line="360" w:lineRule="auto"/>
        <w:ind w:left="0" w:right="1693"/>
        <w:rPr>
          <w:rFonts w:cs="Arial"/>
          <w:bCs/>
          <w:szCs w:val="20"/>
          <w:lang w:val="es-ES"/>
        </w:rPr>
      </w:pPr>
      <w:r w:rsidRPr="00670531">
        <w:rPr>
          <w:rFonts w:cs="Arial"/>
          <w:bCs/>
          <w:szCs w:val="20"/>
          <w:lang w:val="es-ES"/>
        </w:rPr>
        <w:t>"Cuando los empleados creen que pueden optimizar las instalaciones basándose en su instinto, a menudo se equivocan. Los sistemas intralogísticos altamente automatizados y, por tanto, complejos, solo pueden observarse en conjunto de forma verdaderamente eficiente mediante el uso de los datos. Con nuestro Data Analysis and Reporting Dashboard accedemos a datos de distintos sistemas en numerosos puntos. Gracias a la visualización de fácil manejo y a una formación exhaustiva, los usuarios son capaces de ajustar diversos parámetros", recalca Georg Katzlinger-Söllradl, Director Global Lifetime Services de TGW.</w:t>
      </w:r>
    </w:p>
    <w:p w14:paraId="0610E2B2" w14:textId="50D57558" w:rsidR="00E4000C" w:rsidRPr="00670531" w:rsidRDefault="00E4000C" w:rsidP="00CC1EEE">
      <w:pPr>
        <w:spacing w:line="360" w:lineRule="auto"/>
        <w:ind w:left="0" w:right="1693"/>
        <w:rPr>
          <w:rFonts w:cs="Arial"/>
          <w:bCs/>
          <w:szCs w:val="20"/>
          <w:lang w:val="es-ES"/>
        </w:rPr>
      </w:pPr>
    </w:p>
    <w:p w14:paraId="28039107" w14:textId="2129F6E3" w:rsidR="00E4000C" w:rsidRPr="00670531" w:rsidRDefault="00E4000C" w:rsidP="00CC1EEE">
      <w:pPr>
        <w:spacing w:line="360" w:lineRule="auto"/>
        <w:ind w:left="0" w:right="1693"/>
        <w:rPr>
          <w:rFonts w:cs="Arial"/>
          <w:bCs/>
          <w:szCs w:val="20"/>
          <w:lang w:val="es-ES"/>
        </w:rPr>
      </w:pPr>
      <w:r w:rsidRPr="00670531">
        <w:rPr>
          <w:rFonts w:cs="Arial"/>
          <w:bCs/>
          <w:szCs w:val="20"/>
          <w:lang w:val="es-ES"/>
        </w:rPr>
        <w:t>El panel está concebido de forma que permita representar el flujo completo de mercancías:</w:t>
      </w:r>
    </w:p>
    <w:p w14:paraId="1DB1AB9A" w14:textId="77777777" w:rsidR="00FD17B6" w:rsidRPr="00670531" w:rsidRDefault="00FD17B6" w:rsidP="00CC1EEE">
      <w:pPr>
        <w:spacing w:line="360" w:lineRule="auto"/>
        <w:ind w:left="0" w:right="1693"/>
        <w:rPr>
          <w:rFonts w:cs="Arial"/>
          <w:bCs/>
          <w:szCs w:val="20"/>
          <w:lang w:val="es-ES"/>
        </w:rPr>
      </w:pPr>
    </w:p>
    <w:p w14:paraId="7E9AE476" w14:textId="37AC6A07" w:rsidR="00A25ED1" w:rsidRPr="00670531" w:rsidRDefault="00A25ED1" w:rsidP="00A0773C">
      <w:pPr>
        <w:pStyle w:val="Listenabsatz"/>
        <w:numPr>
          <w:ilvl w:val="0"/>
          <w:numId w:val="24"/>
        </w:numPr>
        <w:spacing w:line="360" w:lineRule="auto"/>
        <w:ind w:right="1693"/>
        <w:jc w:val="left"/>
        <w:rPr>
          <w:rFonts w:cs="Arial"/>
          <w:bCs/>
          <w:szCs w:val="20"/>
          <w:lang w:val="es-ES"/>
        </w:rPr>
      </w:pPr>
      <w:r w:rsidRPr="00670531">
        <w:rPr>
          <w:rFonts w:cs="Arial"/>
          <w:b/>
          <w:szCs w:val="20"/>
          <w:lang w:val="es-ES"/>
        </w:rPr>
        <w:t>Decanting/Receiving:</w:t>
      </w:r>
      <w:r w:rsidRPr="00670531">
        <w:rPr>
          <w:rFonts w:cs="Arial"/>
          <w:bCs/>
          <w:szCs w:val="20"/>
          <w:lang w:val="es-ES"/>
        </w:rPr>
        <w:t xml:space="preserve"> el panel muestra datos de la recepción de mercancías (de palets y cajas para transporte marítimo), así como el trasvase en cajas o bandejas.</w:t>
      </w:r>
    </w:p>
    <w:p w14:paraId="173B87DE" w14:textId="0ACA01FC" w:rsidR="00A25ED1" w:rsidRPr="00670531" w:rsidRDefault="004A2AC3" w:rsidP="00A0773C">
      <w:pPr>
        <w:pStyle w:val="Listenabsatz"/>
        <w:numPr>
          <w:ilvl w:val="0"/>
          <w:numId w:val="24"/>
        </w:numPr>
        <w:spacing w:line="360" w:lineRule="auto"/>
        <w:ind w:right="1693"/>
        <w:jc w:val="left"/>
        <w:rPr>
          <w:rFonts w:cs="Arial"/>
          <w:bCs/>
          <w:szCs w:val="20"/>
          <w:lang w:val="es-ES"/>
        </w:rPr>
      </w:pPr>
      <w:r w:rsidRPr="00670531">
        <w:rPr>
          <w:rFonts w:cs="Arial"/>
          <w:b/>
          <w:szCs w:val="20"/>
          <w:lang w:val="es-ES"/>
        </w:rPr>
        <w:t>Transelevadores/shuttles:</w:t>
      </w:r>
      <w:r w:rsidRPr="00670531">
        <w:rPr>
          <w:rFonts w:cs="Arial"/>
          <w:bCs/>
          <w:szCs w:val="20"/>
          <w:lang w:val="es-ES"/>
        </w:rPr>
        <w:t xml:space="preserve"> se representa gráficamente el rendimiento de entrada y salida de mercancías, así como las capacidades libres de transelevadores, shuttles, etc.</w:t>
      </w:r>
    </w:p>
    <w:p w14:paraId="395E18E1" w14:textId="1F88D032" w:rsidR="00A25ED1" w:rsidRPr="00670531" w:rsidRDefault="00B26153" w:rsidP="00A0773C">
      <w:pPr>
        <w:pStyle w:val="Listenabsatz"/>
        <w:numPr>
          <w:ilvl w:val="0"/>
          <w:numId w:val="24"/>
        </w:numPr>
        <w:spacing w:line="360" w:lineRule="auto"/>
        <w:ind w:right="1693"/>
        <w:jc w:val="left"/>
        <w:rPr>
          <w:rFonts w:cs="Arial"/>
          <w:bCs/>
          <w:szCs w:val="20"/>
          <w:lang w:val="es-ES"/>
        </w:rPr>
      </w:pPr>
      <w:r w:rsidRPr="00670531">
        <w:rPr>
          <w:rFonts w:cs="Arial"/>
          <w:b/>
          <w:szCs w:val="20"/>
          <w:lang w:val="es-ES"/>
        </w:rPr>
        <w:t>Workstations:</w:t>
      </w:r>
      <w:r w:rsidRPr="00670531">
        <w:rPr>
          <w:rFonts w:cs="Arial"/>
          <w:bCs/>
          <w:szCs w:val="20"/>
          <w:lang w:val="es-ES"/>
        </w:rPr>
        <w:t xml:space="preserve"> además de las zonas de trabajo activas, el panel también muestra las tasas de preparación de pedidos. Esto le permite reaccionar inmediatamente ante estructuras de pedidos desfavorables o embalajes problemáticos, y tomar medidas correctoras.</w:t>
      </w:r>
    </w:p>
    <w:p w14:paraId="69ED51D1" w14:textId="78937A54" w:rsidR="00A25ED1" w:rsidRPr="00670531" w:rsidRDefault="00A0773C" w:rsidP="00A0773C">
      <w:pPr>
        <w:pStyle w:val="Listenabsatz"/>
        <w:numPr>
          <w:ilvl w:val="0"/>
          <w:numId w:val="24"/>
        </w:numPr>
        <w:spacing w:line="360" w:lineRule="auto"/>
        <w:ind w:right="1693"/>
        <w:jc w:val="left"/>
        <w:rPr>
          <w:rFonts w:cs="Arial"/>
          <w:bCs/>
          <w:szCs w:val="20"/>
          <w:lang w:val="es-ES"/>
        </w:rPr>
      </w:pPr>
      <w:r w:rsidRPr="00670531">
        <w:rPr>
          <w:rFonts w:cs="Arial"/>
          <w:b/>
          <w:szCs w:val="20"/>
          <w:lang w:val="es-ES"/>
        </w:rPr>
        <w:t>Value-Added Services (VAS):</w:t>
      </w:r>
      <w:r w:rsidRPr="00670531">
        <w:rPr>
          <w:rFonts w:cs="Arial"/>
          <w:bCs/>
          <w:szCs w:val="20"/>
          <w:lang w:val="es-ES"/>
        </w:rPr>
        <w:t xml:space="preserve"> el panel muestra el rendimiento en el ámbito de los servicios de valor añadido.</w:t>
      </w:r>
    </w:p>
    <w:p w14:paraId="4911C1CB" w14:textId="35B3D5C6" w:rsidR="00A25ED1" w:rsidRPr="00670531" w:rsidRDefault="00A25ED1" w:rsidP="00A0773C">
      <w:pPr>
        <w:pStyle w:val="Listenabsatz"/>
        <w:numPr>
          <w:ilvl w:val="0"/>
          <w:numId w:val="24"/>
        </w:numPr>
        <w:spacing w:line="360" w:lineRule="auto"/>
        <w:ind w:right="1693"/>
        <w:jc w:val="left"/>
        <w:rPr>
          <w:rFonts w:cs="Arial"/>
          <w:szCs w:val="20"/>
          <w:lang w:val="es-ES"/>
        </w:rPr>
      </w:pPr>
      <w:r w:rsidRPr="00670531">
        <w:rPr>
          <w:rFonts w:cs="Arial"/>
          <w:b/>
          <w:szCs w:val="20"/>
          <w:lang w:val="es-ES"/>
        </w:rPr>
        <w:t>Etiquetadora/Clasificadora/Escáner:</w:t>
      </w:r>
      <w:r w:rsidRPr="00670531">
        <w:rPr>
          <w:rFonts w:cs="Arial"/>
          <w:bCs/>
          <w:szCs w:val="20"/>
          <w:lang w:val="es-ES"/>
        </w:rPr>
        <w:t xml:space="preserve"> los usuarios ven de un vistazo el rendimiento de cada uno de los componentes.</w:t>
      </w:r>
    </w:p>
    <w:p w14:paraId="4C1598D3" w14:textId="440220B4" w:rsidR="00314569" w:rsidRPr="00670531" w:rsidRDefault="00A25ED1" w:rsidP="00A0773C">
      <w:pPr>
        <w:pStyle w:val="Listenabsatz"/>
        <w:numPr>
          <w:ilvl w:val="0"/>
          <w:numId w:val="24"/>
        </w:numPr>
        <w:spacing w:line="360" w:lineRule="auto"/>
        <w:ind w:right="1693"/>
        <w:jc w:val="left"/>
        <w:rPr>
          <w:rFonts w:cs="Arial"/>
          <w:szCs w:val="20"/>
          <w:lang w:val="es-ES"/>
        </w:rPr>
      </w:pPr>
      <w:r w:rsidRPr="00670531">
        <w:rPr>
          <w:rFonts w:cs="Arial"/>
          <w:b/>
          <w:szCs w:val="20"/>
          <w:lang w:val="es-ES"/>
        </w:rPr>
        <w:t xml:space="preserve">Reject Items: </w:t>
      </w:r>
      <w:r w:rsidRPr="00670531">
        <w:rPr>
          <w:rFonts w:cs="Arial"/>
          <w:bCs/>
          <w:szCs w:val="20"/>
          <w:lang w:val="es-ES"/>
        </w:rPr>
        <w:t>las cajas que el sistema rechaza ocasionan un elevado esfuerzo manual. Un seguimiento preciso de las unidades de carga para el análisis estructurado ahorra esfuerzo administrativo.</w:t>
      </w:r>
    </w:p>
    <w:p w14:paraId="20AD8058" w14:textId="54995F83" w:rsidR="00314569" w:rsidRPr="00670531" w:rsidRDefault="00314569" w:rsidP="00314569">
      <w:pPr>
        <w:spacing w:line="360" w:lineRule="auto"/>
        <w:ind w:left="0" w:right="1693"/>
        <w:rPr>
          <w:rFonts w:cs="Arial"/>
          <w:b/>
          <w:szCs w:val="20"/>
          <w:lang w:val="es-ES"/>
        </w:rPr>
      </w:pPr>
    </w:p>
    <w:p w14:paraId="7E1AEB91" w14:textId="1F60B198" w:rsidR="00314569" w:rsidRDefault="00314569" w:rsidP="00314569">
      <w:pPr>
        <w:spacing w:line="360" w:lineRule="auto"/>
        <w:ind w:left="0" w:right="1693"/>
        <w:rPr>
          <w:rFonts w:cs="Arial"/>
          <w:b/>
          <w:szCs w:val="20"/>
          <w:lang w:val="es-ES"/>
        </w:rPr>
      </w:pPr>
    </w:p>
    <w:p w14:paraId="5B89D900" w14:textId="77777777" w:rsidR="00670531" w:rsidRPr="00670531" w:rsidRDefault="00670531" w:rsidP="00314569">
      <w:pPr>
        <w:spacing w:line="360" w:lineRule="auto"/>
        <w:ind w:left="0" w:right="1693"/>
        <w:rPr>
          <w:rFonts w:cs="Arial"/>
          <w:b/>
          <w:szCs w:val="20"/>
          <w:lang w:val="es-ES"/>
        </w:rPr>
      </w:pPr>
    </w:p>
    <w:p w14:paraId="4FCF5DA5" w14:textId="5882E84B" w:rsidR="00314569" w:rsidRPr="00B32871" w:rsidRDefault="00B32871" w:rsidP="00B32871">
      <w:pPr>
        <w:spacing w:line="360" w:lineRule="auto"/>
        <w:ind w:left="0" w:right="1693"/>
        <w:rPr>
          <w:rFonts w:cs="Arial"/>
          <w:szCs w:val="20"/>
          <w:lang w:val="es-ES"/>
        </w:rPr>
      </w:pPr>
      <w:hyperlink r:id="rId11" w:history="1">
        <w:r w:rsidR="00FF0D51" w:rsidRPr="00670531">
          <w:rPr>
            <w:rStyle w:val="Hyperlink"/>
            <w:rFonts w:cs="Arial"/>
            <w:szCs w:val="20"/>
            <w:lang w:val="es-ES"/>
          </w:rPr>
          <w:t>www.tgw-group.com</w:t>
        </w:r>
      </w:hyperlink>
    </w:p>
    <w:p w14:paraId="417AAD62" w14:textId="77777777" w:rsidR="00BC7952" w:rsidRPr="00670531" w:rsidRDefault="00BC7952" w:rsidP="00BC7952">
      <w:pPr>
        <w:spacing w:line="240" w:lineRule="auto"/>
        <w:ind w:left="0" w:right="1693"/>
        <w:rPr>
          <w:rStyle w:val="Hyperlink"/>
          <w:b/>
          <w:color w:val="auto"/>
          <w:u w:val="none"/>
          <w:lang w:val="es-ES"/>
        </w:rPr>
      </w:pPr>
      <w:r w:rsidRPr="00670531">
        <w:rPr>
          <w:rStyle w:val="Hyperlink"/>
          <w:b/>
          <w:color w:val="auto"/>
          <w:u w:val="none"/>
          <w:lang w:val="es-ES"/>
        </w:rPr>
        <w:lastRenderedPageBreak/>
        <w:t>Acerca de TGW Logistics Group:</w:t>
      </w:r>
    </w:p>
    <w:p w14:paraId="1A5A4F56" w14:textId="77777777" w:rsidR="00BC7952" w:rsidRPr="00670531" w:rsidRDefault="00BC7952" w:rsidP="00BC7952">
      <w:pPr>
        <w:spacing w:line="240" w:lineRule="auto"/>
        <w:ind w:left="0" w:right="1693"/>
        <w:rPr>
          <w:rStyle w:val="Hyperlink"/>
          <w:color w:val="auto"/>
          <w:u w:val="none"/>
          <w:lang w:val="es-ES"/>
        </w:rPr>
      </w:pPr>
      <w:r w:rsidRPr="00670531">
        <w:rPr>
          <w:rStyle w:val="Hyperlink"/>
          <w:color w:val="auto"/>
          <w:u w:val="none"/>
          <w:lang w:val="es-ES"/>
        </w:rPr>
        <w:t>TGW Logistics Group es un proveedor internacional líder de soluciones de intralogística. Desde hace más de 50 años, el especialista austriaco implementa instalaciones automatizadas para sus clientes internacionales, de la A de Adidas a la Z de Zalando. Como integrador de sistemas, TGW se encarga de la planificación, la producción y la realización de centros logísticos complejos, desde la mecatrónica y la robótica hasta el control y el software.</w:t>
      </w:r>
    </w:p>
    <w:p w14:paraId="15A25BB4" w14:textId="77777777" w:rsidR="00BC7952" w:rsidRPr="00670531" w:rsidRDefault="00BC7952" w:rsidP="00BC7952">
      <w:pPr>
        <w:spacing w:line="240" w:lineRule="auto"/>
        <w:ind w:left="0" w:right="1693"/>
        <w:rPr>
          <w:rStyle w:val="Hyperlink"/>
          <w:color w:val="auto"/>
          <w:u w:val="none"/>
          <w:lang w:val="es-ES"/>
        </w:rPr>
      </w:pPr>
    </w:p>
    <w:p w14:paraId="10A4CA7B" w14:textId="559025F5" w:rsidR="00BC7952" w:rsidRPr="00670531" w:rsidRDefault="00BC7952" w:rsidP="00BC7952">
      <w:pPr>
        <w:spacing w:line="240" w:lineRule="auto"/>
        <w:ind w:left="0" w:right="1693"/>
        <w:rPr>
          <w:rStyle w:val="Hyperlink"/>
          <w:color w:val="auto"/>
          <w:u w:val="none"/>
          <w:lang w:val="es-ES"/>
        </w:rPr>
      </w:pPr>
      <w:r w:rsidRPr="00670531">
        <w:rPr>
          <w:rStyle w:val="Hyperlink"/>
          <w:color w:val="auto"/>
          <w:u w:val="none"/>
          <w:lang w:val="es-ES"/>
        </w:rPr>
        <w:t>TGW Logistics Group tiene oficinas en Europa, China y EE. UU. y emplea a más de 4 400 personas en todo el mundo. En el ejercicio 2021/2022, la empresa obtuvo una facturación total de 924 millones de euros.</w:t>
      </w:r>
    </w:p>
    <w:p w14:paraId="1CF88C1B" w14:textId="77777777" w:rsidR="00BC7952" w:rsidRPr="00670531" w:rsidRDefault="00BC7952" w:rsidP="00BC7952">
      <w:pPr>
        <w:spacing w:line="240" w:lineRule="auto"/>
        <w:ind w:left="0" w:right="1693"/>
        <w:rPr>
          <w:rStyle w:val="Hyperlink"/>
          <w:color w:val="auto"/>
          <w:u w:val="none"/>
          <w:lang w:val="es-ES"/>
        </w:rPr>
      </w:pPr>
    </w:p>
    <w:p w14:paraId="06239CDD" w14:textId="77777777" w:rsidR="00BC7952" w:rsidRPr="00670531" w:rsidRDefault="00BC7952" w:rsidP="00BC7952">
      <w:pPr>
        <w:spacing w:line="240" w:lineRule="auto"/>
        <w:ind w:left="0" w:right="1693"/>
        <w:rPr>
          <w:rStyle w:val="Hyperlink"/>
          <w:color w:val="auto"/>
          <w:u w:val="none"/>
          <w:lang w:val="es-ES"/>
        </w:rPr>
      </w:pPr>
    </w:p>
    <w:p w14:paraId="1F456E7A" w14:textId="77777777" w:rsidR="00BC7952" w:rsidRPr="00670531" w:rsidRDefault="00BC7952" w:rsidP="00BC7952">
      <w:pPr>
        <w:spacing w:line="240" w:lineRule="auto"/>
        <w:ind w:left="0" w:right="1693"/>
        <w:rPr>
          <w:rStyle w:val="Hyperlink"/>
          <w:color w:val="auto"/>
          <w:u w:val="none"/>
          <w:lang w:val="es-ES"/>
        </w:rPr>
      </w:pPr>
    </w:p>
    <w:p w14:paraId="45AC0DE5" w14:textId="77777777" w:rsidR="00BC7952" w:rsidRPr="00670531" w:rsidRDefault="00BC7952" w:rsidP="00BC7952">
      <w:pPr>
        <w:spacing w:line="240" w:lineRule="auto"/>
        <w:ind w:left="0" w:right="1693"/>
        <w:rPr>
          <w:rStyle w:val="Hyperlink"/>
          <w:b/>
          <w:color w:val="auto"/>
          <w:u w:val="none"/>
          <w:lang w:val="es-ES"/>
        </w:rPr>
      </w:pPr>
      <w:r w:rsidRPr="00670531">
        <w:rPr>
          <w:rStyle w:val="Hyperlink"/>
          <w:b/>
          <w:color w:val="auto"/>
          <w:u w:val="none"/>
          <w:lang w:val="es-ES"/>
        </w:rPr>
        <w:t>Ilustraciones:</w:t>
      </w:r>
    </w:p>
    <w:p w14:paraId="749DE048" w14:textId="77777777" w:rsidR="00BC7952" w:rsidRPr="00670531" w:rsidRDefault="00BC7952" w:rsidP="00BC7952">
      <w:pPr>
        <w:spacing w:line="240" w:lineRule="auto"/>
        <w:ind w:left="0" w:right="1693"/>
        <w:rPr>
          <w:rStyle w:val="Hyperlink"/>
          <w:color w:val="auto"/>
          <w:u w:val="none"/>
          <w:lang w:val="es-ES"/>
        </w:rPr>
      </w:pPr>
      <w:r w:rsidRPr="00670531">
        <w:rPr>
          <w:rStyle w:val="Hyperlink"/>
          <w:color w:val="auto"/>
          <w:u w:val="none"/>
          <w:lang w:val="es-ES"/>
        </w:rPr>
        <w:t>Reproducción sin comisiones previa indicación de la fuente y para notas de prensa relacionadas principalmente con TGW Logistics Group GmbH. Queda prohibida la reproducción con fines promocionales.</w:t>
      </w:r>
    </w:p>
    <w:p w14:paraId="67B21F0B" w14:textId="77777777" w:rsidR="00BC7952" w:rsidRPr="00670531" w:rsidRDefault="00BC7952" w:rsidP="00BC7952">
      <w:pPr>
        <w:spacing w:line="240" w:lineRule="auto"/>
        <w:ind w:left="0" w:right="1693"/>
        <w:rPr>
          <w:rStyle w:val="Hyperlink"/>
          <w:color w:val="auto"/>
          <w:u w:val="none"/>
          <w:lang w:val="es-ES"/>
        </w:rPr>
      </w:pPr>
    </w:p>
    <w:p w14:paraId="375DD09F" w14:textId="77777777" w:rsidR="00BC7952" w:rsidRPr="00670531" w:rsidRDefault="00BC7952" w:rsidP="00BC7952">
      <w:pPr>
        <w:spacing w:line="240" w:lineRule="auto"/>
        <w:ind w:left="0" w:right="1693"/>
        <w:rPr>
          <w:rStyle w:val="Hyperlink"/>
          <w:color w:val="auto"/>
          <w:u w:val="none"/>
          <w:lang w:val="es-ES"/>
        </w:rPr>
      </w:pPr>
    </w:p>
    <w:p w14:paraId="2519459F" w14:textId="77777777" w:rsidR="00BC7952" w:rsidRPr="00670531" w:rsidRDefault="00BC7952" w:rsidP="00BC7952">
      <w:pPr>
        <w:spacing w:line="240" w:lineRule="auto"/>
        <w:ind w:left="0" w:right="1693"/>
        <w:rPr>
          <w:rStyle w:val="Hyperlink"/>
          <w:b/>
          <w:color w:val="auto"/>
          <w:u w:val="none"/>
          <w:lang w:val="es-ES"/>
        </w:rPr>
      </w:pPr>
      <w:r w:rsidRPr="00670531">
        <w:rPr>
          <w:rStyle w:val="Hyperlink"/>
          <w:b/>
          <w:color w:val="auto"/>
          <w:u w:val="none"/>
          <w:lang w:val="es-ES"/>
        </w:rPr>
        <w:t>Contacto:</w:t>
      </w:r>
    </w:p>
    <w:p w14:paraId="5590A0C7" w14:textId="77777777" w:rsidR="00BC7952" w:rsidRPr="00670531" w:rsidRDefault="00BC7952" w:rsidP="00BC7952">
      <w:pPr>
        <w:spacing w:line="240" w:lineRule="auto"/>
        <w:ind w:left="0" w:right="1693"/>
        <w:rPr>
          <w:rStyle w:val="Hyperlink"/>
          <w:color w:val="auto"/>
          <w:u w:val="none"/>
          <w:lang w:val="es-ES"/>
        </w:rPr>
      </w:pPr>
      <w:r w:rsidRPr="00670531">
        <w:rPr>
          <w:rStyle w:val="Hyperlink"/>
          <w:color w:val="auto"/>
          <w:u w:val="none"/>
          <w:lang w:val="es-ES"/>
        </w:rPr>
        <w:t>TGW Logistics Group GmbH</w:t>
      </w:r>
    </w:p>
    <w:p w14:paraId="2874DF17" w14:textId="77777777" w:rsidR="00BC7952" w:rsidRPr="00670531" w:rsidRDefault="00BC7952" w:rsidP="00BC7952">
      <w:pPr>
        <w:spacing w:line="240" w:lineRule="auto"/>
        <w:ind w:left="0" w:right="1693"/>
        <w:rPr>
          <w:rStyle w:val="Hyperlink"/>
          <w:color w:val="auto"/>
          <w:u w:val="none"/>
          <w:lang w:val="es-ES"/>
        </w:rPr>
      </w:pPr>
      <w:r w:rsidRPr="00670531">
        <w:rPr>
          <w:rStyle w:val="Hyperlink"/>
          <w:color w:val="auto"/>
          <w:u w:val="none"/>
          <w:lang w:val="es-ES"/>
        </w:rPr>
        <w:t>A-4614 Marchtrenk, Ludwig Szinicz Straße 3</w:t>
      </w:r>
    </w:p>
    <w:p w14:paraId="269F454E" w14:textId="77777777" w:rsidR="00BC7952" w:rsidRPr="00670531" w:rsidRDefault="00BC7952" w:rsidP="00BC7952">
      <w:pPr>
        <w:spacing w:line="240" w:lineRule="auto"/>
        <w:ind w:left="0" w:right="1693"/>
        <w:rPr>
          <w:rStyle w:val="Hyperlink"/>
          <w:color w:val="auto"/>
          <w:u w:val="none"/>
          <w:lang w:val="es-ES"/>
        </w:rPr>
      </w:pPr>
      <w:r w:rsidRPr="00670531">
        <w:rPr>
          <w:rStyle w:val="Hyperlink"/>
          <w:color w:val="auto"/>
          <w:u w:val="none"/>
          <w:lang w:val="es-ES"/>
        </w:rPr>
        <w:t>T: +43.(0)50.486-0</w:t>
      </w:r>
    </w:p>
    <w:p w14:paraId="473293E8" w14:textId="77777777" w:rsidR="00BC7952" w:rsidRPr="00670531" w:rsidRDefault="00BC7952" w:rsidP="00BC7952">
      <w:pPr>
        <w:spacing w:line="240" w:lineRule="auto"/>
        <w:ind w:left="0" w:right="1693"/>
        <w:rPr>
          <w:rStyle w:val="Hyperlink"/>
          <w:color w:val="auto"/>
          <w:u w:val="none"/>
          <w:lang w:val="es-ES"/>
        </w:rPr>
      </w:pPr>
      <w:r w:rsidRPr="00670531">
        <w:rPr>
          <w:rStyle w:val="Hyperlink"/>
          <w:color w:val="auto"/>
          <w:u w:val="none"/>
          <w:lang w:val="es-ES"/>
        </w:rPr>
        <w:t>F: +43.(0)50.486-31</w:t>
      </w:r>
    </w:p>
    <w:p w14:paraId="7A610B90" w14:textId="77777777" w:rsidR="00BC7952" w:rsidRPr="00670531" w:rsidRDefault="00BC7952" w:rsidP="00BC7952">
      <w:pPr>
        <w:spacing w:line="240" w:lineRule="auto"/>
        <w:ind w:left="0" w:right="1693"/>
        <w:rPr>
          <w:rStyle w:val="Hyperlink"/>
          <w:color w:val="auto"/>
          <w:u w:val="none"/>
          <w:lang w:val="es-ES"/>
        </w:rPr>
      </w:pPr>
      <w:r w:rsidRPr="00670531">
        <w:rPr>
          <w:rStyle w:val="Hyperlink"/>
          <w:color w:val="auto"/>
          <w:u w:val="none"/>
          <w:lang w:val="es-ES"/>
        </w:rPr>
        <w:t>Correo electrónico: tgw@tgw-group.com</w:t>
      </w:r>
    </w:p>
    <w:p w14:paraId="78057CCF" w14:textId="77777777" w:rsidR="00BC7952" w:rsidRPr="00670531" w:rsidRDefault="00BC7952" w:rsidP="00BC7952">
      <w:pPr>
        <w:spacing w:line="240" w:lineRule="auto"/>
        <w:ind w:left="0" w:right="1693"/>
        <w:rPr>
          <w:rStyle w:val="Hyperlink"/>
          <w:color w:val="auto"/>
          <w:u w:val="none"/>
          <w:lang w:val="es-ES"/>
        </w:rPr>
      </w:pPr>
    </w:p>
    <w:p w14:paraId="059207D1" w14:textId="77777777" w:rsidR="00F92A0D" w:rsidRPr="00670531" w:rsidRDefault="00F92A0D" w:rsidP="00BC7952">
      <w:pPr>
        <w:spacing w:line="240" w:lineRule="auto"/>
        <w:ind w:left="0" w:right="1693"/>
        <w:rPr>
          <w:rStyle w:val="Hyperlink"/>
          <w:color w:val="auto"/>
          <w:u w:val="none"/>
          <w:lang w:val="es-ES"/>
        </w:rPr>
      </w:pPr>
    </w:p>
    <w:p w14:paraId="4E427EB8" w14:textId="77777777" w:rsidR="00F92A0D" w:rsidRPr="00670531" w:rsidRDefault="00F92A0D" w:rsidP="00BC7952">
      <w:pPr>
        <w:spacing w:line="240" w:lineRule="auto"/>
        <w:ind w:left="0" w:right="1693"/>
        <w:rPr>
          <w:rStyle w:val="Hyperlink"/>
          <w:color w:val="auto"/>
          <w:u w:val="none"/>
          <w:lang w:val="es-ES"/>
        </w:rPr>
      </w:pPr>
      <w:r w:rsidRPr="00670531">
        <w:rPr>
          <w:rStyle w:val="Hyperlink"/>
          <w:color w:val="auto"/>
          <w:u w:val="none"/>
          <w:lang w:val="es-ES"/>
        </w:rPr>
        <w:t>Contacto de prensa:</w:t>
      </w:r>
    </w:p>
    <w:p w14:paraId="68042F9C" w14:textId="77777777" w:rsidR="00F92A0D" w:rsidRPr="00670531" w:rsidRDefault="00BC7952" w:rsidP="00BC7952">
      <w:pPr>
        <w:spacing w:line="240" w:lineRule="auto"/>
        <w:ind w:left="0" w:right="1693"/>
        <w:rPr>
          <w:rStyle w:val="Hyperlink"/>
          <w:color w:val="auto"/>
          <w:u w:val="none"/>
          <w:lang w:val="es-ES"/>
        </w:rPr>
      </w:pPr>
      <w:r w:rsidRPr="00670531">
        <w:rPr>
          <w:rStyle w:val="Hyperlink"/>
          <w:color w:val="auto"/>
          <w:u w:val="none"/>
          <w:lang w:val="es-ES"/>
        </w:rPr>
        <w:t>Alexander Tahedl</w:t>
      </w:r>
    </w:p>
    <w:p w14:paraId="03A35A8D" w14:textId="77777777" w:rsidR="00BC7952" w:rsidRPr="00670531" w:rsidRDefault="00BC7952" w:rsidP="00BC7952">
      <w:pPr>
        <w:spacing w:line="240" w:lineRule="auto"/>
        <w:ind w:left="0" w:right="1693"/>
        <w:rPr>
          <w:rStyle w:val="Hyperlink"/>
          <w:color w:val="auto"/>
          <w:u w:val="none"/>
          <w:lang w:val="es-ES"/>
        </w:rPr>
      </w:pPr>
      <w:r w:rsidRPr="00670531">
        <w:rPr>
          <w:rStyle w:val="Hyperlink"/>
          <w:color w:val="auto"/>
          <w:u w:val="none"/>
          <w:lang w:val="es-ES"/>
        </w:rPr>
        <w:t>Communications Specialist</w:t>
      </w:r>
    </w:p>
    <w:p w14:paraId="2CD595C3" w14:textId="77777777" w:rsidR="00BC7952" w:rsidRPr="00670531" w:rsidRDefault="00BC7952" w:rsidP="00BC7952">
      <w:pPr>
        <w:spacing w:line="240" w:lineRule="auto"/>
        <w:ind w:left="0" w:right="1693"/>
        <w:rPr>
          <w:rStyle w:val="Hyperlink"/>
          <w:color w:val="auto"/>
          <w:u w:val="none"/>
          <w:lang w:val="es-ES"/>
        </w:rPr>
      </w:pPr>
      <w:r w:rsidRPr="00670531">
        <w:rPr>
          <w:rStyle w:val="Hyperlink"/>
          <w:color w:val="auto"/>
          <w:u w:val="none"/>
          <w:lang w:val="es-ES"/>
        </w:rPr>
        <w:t>T: +43.(0)50.486-2267</w:t>
      </w:r>
    </w:p>
    <w:p w14:paraId="18DF18B5" w14:textId="77777777" w:rsidR="00BC7952" w:rsidRPr="00670531" w:rsidRDefault="00BC7952" w:rsidP="00BC7952">
      <w:pPr>
        <w:spacing w:line="240" w:lineRule="auto"/>
        <w:ind w:left="0" w:right="1693"/>
        <w:rPr>
          <w:rStyle w:val="Hyperlink"/>
          <w:color w:val="auto"/>
          <w:u w:val="none"/>
          <w:lang w:val="es-ES"/>
        </w:rPr>
      </w:pPr>
      <w:r w:rsidRPr="00670531">
        <w:rPr>
          <w:rStyle w:val="Hyperlink"/>
          <w:color w:val="auto"/>
          <w:u w:val="none"/>
          <w:lang w:val="es-ES"/>
        </w:rPr>
        <w:t>M: +43.(0)664.88459713</w:t>
      </w:r>
    </w:p>
    <w:p w14:paraId="41C39A71" w14:textId="77777777" w:rsidR="00BC7952" w:rsidRPr="00670531" w:rsidRDefault="00BC7952" w:rsidP="00BC7952">
      <w:pPr>
        <w:spacing w:line="240" w:lineRule="auto"/>
        <w:ind w:left="0" w:right="1693"/>
        <w:rPr>
          <w:lang w:val="es-ES"/>
        </w:rPr>
      </w:pPr>
      <w:r w:rsidRPr="00670531">
        <w:rPr>
          <w:rStyle w:val="Hyperlink"/>
          <w:color w:val="auto"/>
          <w:u w:val="none"/>
          <w:lang w:val="es-ES"/>
        </w:rPr>
        <w:t>alexander.tahedl@tgw-group.com</w:t>
      </w:r>
    </w:p>
    <w:p w14:paraId="4F06652C" w14:textId="76FEBFAC" w:rsidR="006231AE" w:rsidRPr="00670531" w:rsidRDefault="006231AE" w:rsidP="006231AE">
      <w:pPr>
        <w:ind w:left="0" w:right="1693"/>
        <w:rPr>
          <w:lang w:val="es-ES"/>
        </w:rPr>
      </w:pPr>
    </w:p>
    <w:sectPr w:rsidR="006231AE" w:rsidRPr="00670531"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E0059" w14:textId="77777777" w:rsidR="00700F1A" w:rsidRDefault="00700F1A" w:rsidP="00764006">
      <w:pPr>
        <w:spacing w:line="240" w:lineRule="auto"/>
      </w:pPr>
      <w:r>
        <w:separator/>
      </w:r>
    </w:p>
  </w:endnote>
  <w:endnote w:type="continuationSeparator" w:id="0">
    <w:p w14:paraId="55A1F588" w14:textId="77777777" w:rsidR="00700F1A" w:rsidRDefault="00700F1A"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26F77CAF" w14:textId="77777777" w:rsidTr="00A345ED">
      <w:tc>
        <w:tcPr>
          <w:tcW w:w="6474" w:type="dxa"/>
        </w:tcPr>
        <w:p w14:paraId="77BF932F"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0B7E59C7"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0946E9C2" w14:textId="77777777" w:rsidR="00B72812" w:rsidRPr="00C424EA" w:rsidRDefault="00B72812" w:rsidP="00C424EA">
          <w:pPr>
            <w:pStyle w:val="Fuzeile"/>
            <w:rPr>
              <w:sz w:val="16"/>
              <w:szCs w:val="16"/>
            </w:rPr>
          </w:pPr>
        </w:p>
      </w:tc>
      <w:tc>
        <w:tcPr>
          <w:tcW w:w="2438" w:type="dxa"/>
          <w:vAlign w:val="center"/>
        </w:tcPr>
        <w:p w14:paraId="00826F61" w14:textId="62876A46"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B32871">
            <w:rPr>
              <w:noProof/>
              <w:sz w:val="16"/>
              <w:szCs w:val="16"/>
            </w:rPr>
            <w:t>1</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B32871">
            <w:rPr>
              <w:noProof/>
              <w:sz w:val="16"/>
              <w:szCs w:val="16"/>
            </w:rPr>
            <w:t>3</w:t>
          </w:r>
          <w:r>
            <w:fldChar w:fldCharType="end"/>
          </w:r>
        </w:p>
      </w:tc>
    </w:tr>
  </w:tbl>
  <w:p w14:paraId="7F771200"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BC8C0" w14:textId="77777777" w:rsidR="00700F1A" w:rsidRDefault="00700F1A" w:rsidP="00764006">
      <w:pPr>
        <w:spacing w:line="240" w:lineRule="auto"/>
      </w:pPr>
      <w:r>
        <w:separator/>
      </w:r>
    </w:p>
  </w:footnote>
  <w:footnote w:type="continuationSeparator" w:id="0">
    <w:p w14:paraId="363EEDF0" w14:textId="77777777" w:rsidR="00700F1A" w:rsidRDefault="00700F1A"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10F10" w14:textId="77777777" w:rsidR="00B72812" w:rsidRDefault="00B72812" w:rsidP="00C54F6A">
    <w:pPr>
      <w:pStyle w:val="Dokumententitel"/>
    </w:pPr>
  </w:p>
  <w:p w14:paraId="767BA1CA" w14:textId="77777777" w:rsidR="00B72812" w:rsidRPr="00C15D91" w:rsidRDefault="00B72812" w:rsidP="00C54F6A">
    <w:pPr>
      <w:pStyle w:val="Dokumententitel"/>
    </w:pPr>
    <w:r>
      <w:drawing>
        <wp:anchor distT="0" distB="0" distL="114300" distR="114300" simplePos="0" relativeHeight="251659264" behindDoc="0" locked="0" layoutInCell="1" allowOverlap="1" wp14:anchorId="114A6267" wp14:editId="6DADB925">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Nota de prensa</w:t>
    </w:r>
  </w:p>
  <w:p w14:paraId="7FFABF6F"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241410A"/>
    <w:multiLevelType w:val="hybridMultilevel"/>
    <w:tmpl w:val="9D9A910C"/>
    <w:lvl w:ilvl="0" w:tplc="22C2CA7E">
      <w:start w:val="1"/>
      <w:numFmt w:val="decimal"/>
      <w:lvlText w:val="%1."/>
      <w:lvlJc w:val="left"/>
      <w:pPr>
        <w:ind w:left="720" w:hanging="360"/>
      </w:pPr>
      <w:rPr>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9"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1" w15:restartNumberingAfterBreak="0">
    <w:nsid w:val="673F37A7"/>
    <w:multiLevelType w:val="hybridMultilevel"/>
    <w:tmpl w:val="7BC841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77B245B1"/>
    <w:multiLevelType w:val="hybridMultilevel"/>
    <w:tmpl w:val="65B2B582"/>
    <w:lvl w:ilvl="0" w:tplc="E55C8EE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3"/>
  </w:num>
  <w:num w:numId="4">
    <w:abstractNumId w:val="18"/>
  </w:num>
  <w:num w:numId="5">
    <w:abstractNumId w:val="20"/>
  </w:num>
  <w:num w:numId="6">
    <w:abstractNumId w:val="4"/>
  </w:num>
  <w:num w:numId="7">
    <w:abstractNumId w:val="1"/>
  </w:num>
  <w:num w:numId="8">
    <w:abstractNumId w:val="16"/>
  </w:num>
  <w:num w:numId="9">
    <w:abstractNumId w:val="6"/>
  </w:num>
  <w:num w:numId="10">
    <w:abstractNumId w:val="22"/>
  </w:num>
  <w:num w:numId="11">
    <w:abstractNumId w:val="11"/>
  </w:num>
  <w:num w:numId="12">
    <w:abstractNumId w:val="7"/>
  </w:num>
  <w:num w:numId="13">
    <w:abstractNumId w:val="5"/>
  </w:num>
  <w:num w:numId="14">
    <w:abstractNumId w:val="15"/>
  </w:num>
  <w:num w:numId="15">
    <w:abstractNumId w:val="2"/>
  </w:num>
  <w:num w:numId="16">
    <w:abstractNumId w:val="3"/>
  </w:num>
  <w:num w:numId="17">
    <w:abstractNumId w:val="0"/>
  </w:num>
  <w:num w:numId="18">
    <w:abstractNumId w:val="8"/>
  </w:num>
  <w:num w:numId="19">
    <w:abstractNumId w:val="10"/>
  </w:num>
  <w:num w:numId="20">
    <w:abstractNumId w:val="19"/>
  </w:num>
  <w:num w:numId="21">
    <w:abstractNumId w:val="12"/>
  </w:num>
  <w:num w:numId="22">
    <w:abstractNumId w:val="23"/>
  </w:num>
  <w:num w:numId="23">
    <w:abstractNumId w:val="2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DE" w:vendorID="64" w:dllVersion="131078" w:nlCheck="1" w:checkStyle="0"/>
  <w:activeWritingStyle w:appName="MSWord" w:lang="de-AT" w:vendorID="64" w:dllVersion="131078" w:nlCheck="1" w:checkStyle="0"/>
  <w:activeWritingStyle w:appName="MSWord" w:lang="en-AU"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D99"/>
    <w:rsid w:val="00010E02"/>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258B"/>
    <w:rsid w:val="000236F9"/>
    <w:rsid w:val="00025C18"/>
    <w:rsid w:val="00025FEC"/>
    <w:rsid w:val="00026DE3"/>
    <w:rsid w:val="00030C83"/>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EC2"/>
    <w:rsid w:val="00055139"/>
    <w:rsid w:val="00055611"/>
    <w:rsid w:val="00055AC1"/>
    <w:rsid w:val="00056AA7"/>
    <w:rsid w:val="00060901"/>
    <w:rsid w:val="00061BDB"/>
    <w:rsid w:val="00064A27"/>
    <w:rsid w:val="00064F2D"/>
    <w:rsid w:val="000662F5"/>
    <w:rsid w:val="00066599"/>
    <w:rsid w:val="0006731A"/>
    <w:rsid w:val="00067ABB"/>
    <w:rsid w:val="00071B58"/>
    <w:rsid w:val="0007431B"/>
    <w:rsid w:val="00074502"/>
    <w:rsid w:val="00074923"/>
    <w:rsid w:val="00076C37"/>
    <w:rsid w:val="000809E8"/>
    <w:rsid w:val="00082003"/>
    <w:rsid w:val="0008361B"/>
    <w:rsid w:val="000851A7"/>
    <w:rsid w:val="00086319"/>
    <w:rsid w:val="00086DCB"/>
    <w:rsid w:val="00087166"/>
    <w:rsid w:val="0008730F"/>
    <w:rsid w:val="00092057"/>
    <w:rsid w:val="00092354"/>
    <w:rsid w:val="00092A61"/>
    <w:rsid w:val="00092EF8"/>
    <w:rsid w:val="000949FC"/>
    <w:rsid w:val="00094D4C"/>
    <w:rsid w:val="00095936"/>
    <w:rsid w:val="000966B7"/>
    <w:rsid w:val="0009689E"/>
    <w:rsid w:val="00097109"/>
    <w:rsid w:val="000A0D43"/>
    <w:rsid w:val="000A0FF3"/>
    <w:rsid w:val="000A1858"/>
    <w:rsid w:val="000A267E"/>
    <w:rsid w:val="000A3054"/>
    <w:rsid w:val="000A33C6"/>
    <w:rsid w:val="000A3DB4"/>
    <w:rsid w:val="000A46E2"/>
    <w:rsid w:val="000A579F"/>
    <w:rsid w:val="000A5D32"/>
    <w:rsid w:val="000A605B"/>
    <w:rsid w:val="000A6CE7"/>
    <w:rsid w:val="000A6FF9"/>
    <w:rsid w:val="000A77BB"/>
    <w:rsid w:val="000B2B18"/>
    <w:rsid w:val="000B4185"/>
    <w:rsid w:val="000B5A93"/>
    <w:rsid w:val="000B5C66"/>
    <w:rsid w:val="000B6542"/>
    <w:rsid w:val="000B65C7"/>
    <w:rsid w:val="000B65E5"/>
    <w:rsid w:val="000B74A6"/>
    <w:rsid w:val="000B74E7"/>
    <w:rsid w:val="000B7FAB"/>
    <w:rsid w:val="000C14A0"/>
    <w:rsid w:val="000C3087"/>
    <w:rsid w:val="000C38EE"/>
    <w:rsid w:val="000C3977"/>
    <w:rsid w:val="000C3DD8"/>
    <w:rsid w:val="000C5589"/>
    <w:rsid w:val="000C581E"/>
    <w:rsid w:val="000D0567"/>
    <w:rsid w:val="000D07FD"/>
    <w:rsid w:val="000D0F32"/>
    <w:rsid w:val="000D32EB"/>
    <w:rsid w:val="000D3617"/>
    <w:rsid w:val="000D3C37"/>
    <w:rsid w:val="000D4724"/>
    <w:rsid w:val="000D5EF9"/>
    <w:rsid w:val="000E0701"/>
    <w:rsid w:val="000E1D04"/>
    <w:rsid w:val="000E1D58"/>
    <w:rsid w:val="000E20AF"/>
    <w:rsid w:val="000E2AD9"/>
    <w:rsid w:val="000E33BA"/>
    <w:rsid w:val="000E33FB"/>
    <w:rsid w:val="000E3560"/>
    <w:rsid w:val="000E43DC"/>
    <w:rsid w:val="000E48E5"/>
    <w:rsid w:val="000E4B36"/>
    <w:rsid w:val="000E75D4"/>
    <w:rsid w:val="000F2C7A"/>
    <w:rsid w:val="000F3959"/>
    <w:rsid w:val="000F632A"/>
    <w:rsid w:val="000F6CC2"/>
    <w:rsid w:val="000F74BB"/>
    <w:rsid w:val="000F750C"/>
    <w:rsid w:val="000F7838"/>
    <w:rsid w:val="000F7C74"/>
    <w:rsid w:val="000F7ECD"/>
    <w:rsid w:val="00100BDA"/>
    <w:rsid w:val="00102353"/>
    <w:rsid w:val="0010383A"/>
    <w:rsid w:val="00103B57"/>
    <w:rsid w:val="00104CDF"/>
    <w:rsid w:val="00104DEA"/>
    <w:rsid w:val="001061B8"/>
    <w:rsid w:val="00106523"/>
    <w:rsid w:val="001069CF"/>
    <w:rsid w:val="001113B7"/>
    <w:rsid w:val="001119B7"/>
    <w:rsid w:val="00111A67"/>
    <w:rsid w:val="001136BD"/>
    <w:rsid w:val="00113DEF"/>
    <w:rsid w:val="0011473E"/>
    <w:rsid w:val="00114EE0"/>
    <w:rsid w:val="00116B32"/>
    <w:rsid w:val="00117330"/>
    <w:rsid w:val="0012094E"/>
    <w:rsid w:val="00120955"/>
    <w:rsid w:val="001230A6"/>
    <w:rsid w:val="00125FEB"/>
    <w:rsid w:val="0012627D"/>
    <w:rsid w:val="00126DA1"/>
    <w:rsid w:val="00127ECE"/>
    <w:rsid w:val="001305E8"/>
    <w:rsid w:val="00130D09"/>
    <w:rsid w:val="00131A55"/>
    <w:rsid w:val="001336DF"/>
    <w:rsid w:val="0013383F"/>
    <w:rsid w:val="001338DB"/>
    <w:rsid w:val="00134AF1"/>
    <w:rsid w:val="001404D7"/>
    <w:rsid w:val="00140DF0"/>
    <w:rsid w:val="00141099"/>
    <w:rsid w:val="00142015"/>
    <w:rsid w:val="00142599"/>
    <w:rsid w:val="001429F4"/>
    <w:rsid w:val="00142C72"/>
    <w:rsid w:val="00142D0C"/>
    <w:rsid w:val="00144E88"/>
    <w:rsid w:val="00147C5F"/>
    <w:rsid w:val="0015180E"/>
    <w:rsid w:val="00151FD8"/>
    <w:rsid w:val="00152760"/>
    <w:rsid w:val="00152A09"/>
    <w:rsid w:val="00153C82"/>
    <w:rsid w:val="00153D8F"/>
    <w:rsid w:val="00154627"/>
    <w:rsid w:val="00155AE9"/>
    <w:rsid w:val="00155DB3"/>
    <w:rsid w:val="00157367"/>
    <w:rsid w:val="00157D30"/>
    <w:rsid w:val="00162ADF"/>
    <w:rsid w:val="00162D14"/>
    <w:rsid w:val="00162FE9"/>
    <w:rsid w:val="001635F5"/>
    <w:rsid w:val="001651A2"/>
    <w:rsid w:val="00165945"/>
    <w:rsid w:val="00165988"/>
    <w:rsid w:val="00165EB0"/>
    <w:rsid w:val="001671D5"/>
    <w:rsid w:val="0016742A"/>
    <w:rsid w:val="001702C8"/>
    <w:rsid w:val="0017041B"/>
    <w:rsid w:val="00170529"/>
    <w:rsid w:val="00170957"/>
    <w:rsid w:val="00170E3F"/>
    <w:rsid w:val="001713BB"/>
    <w:rsid w:val="001744EA"/>
    <w:rsid w:val="001754C6"/>
    <w:rsid w:val="001806F8"/>
    <w:rsid w:val="00180B8A"/>
    <w:rsid w:val="00180E49"/>
    <w:rsid w:val="001823FD"/>
    <w:rsid w:val="00182747"/>
    <w:rsid w:val="00183067"/>
    <w:rsid w:val="001832C9"/>
    <w:rsid w:val="00184021"/>
    <w:rsid w:val="0018476A"/>
    <w:rsid w:val="00184C9A"/>
    <w:rsid w:val="00185240"/>
    <w:rsid w:val="00185895"/>
    <w:rsid w:val="001858FA"/>
    <w:rsid w:val="00185AD7"/>
    <w:rsid w:val="00185FCF"/>
    <w:rsid w:val="001866FC"/>
    <w:rsid w:val="00186DCA"/>
    <w:rsid w:val="001877D6"/>
    <w:rsid w:val="001900F5"/>
    <w:rsid w:val="001905C1"/>
    <w:rsid w:val="0019186D"/>
    <w:rsid w:val="00191D7D"/>
    <w:rsid w:val="00192F99"/>
    <w:rsid w:val="0019426A"/>
    <w:rsid w:val="00194327"/>
    <w:rsid w:val="00194BC4"/>
    <w:rsid w:val="00195591"/>
    <w:rsid w:val="00195BA1"/>
    <w:rsid w:val="00197269"/>
    <w:rsid w:val="001A0128"/>
    <w:rsid w:val="001A12C6"/>
    <w:rsid w:val="001A2DCB"/>
    <w:rsid w:val="001A33BD"/>
    <w:rsid w:val="001A4166"/>
    <w:rsid w:val="001A58D9"/>
    <w:rsid w:val="001A6800"/>
    <w:rsid w:val="001A6E46"/>
    <w:rsid w:val="001A743C"/>
    <w:rsid w:val="001A7904"/>
    <w:rsid w:val="001B0DAB"/>
    <w:rsid w:val="001B28D5"/>
    <w:rsid w:val="001B3772"/>
    <w:rsid w:val="001B450B"/>
    <w:rsid w:val="001B46E9"/>
    <w:rsid w:val="001B4929"/>
    <w:rsid w:val="001B4CD8"/>
    <w:rsid w:val="001B7EEA"/>
    <w:rsid w:val="001C050F"/>
    <w:rsid w:val="001C1838"/>
    <w:rsid w:val="001C1AC7"/>
    <w:rsid w:val="001C40DE"/>
    <w:rsid w:val="001C5298"/>
    <w:rsid w:val="001C7547"/>
    <w:rsid w:val="001C77BA"/>
    <w:rsid w:val="001D1169"/>
    <w:rsid w:val="001D3742"/>
    <w:rsid w:val="001D3C48"/>
    <w:rsid w:val="001D3DA5"/>
    <w:rsid w:val="001D57B5"/>
    <w:rsid w:val="001D69D1"/>
    <w:rsid w:val="001D7887"/>
    <w:rsid w:val="001D7B5D"/>
    <w:rsid w:val="001E1155"/>
    <w:rsid w:val="001E22B6"/>
    <w:rsid w:val="001E2746"/>
    <w:rsid w:val="001E28E9"/>
    <w:rsid w:val="001E2A74"/>
    <w:rsid w:val="001E34A5"/>
    <w:rsid w:val="001E6173"/>
    <w:rsid w:val="001E6404"/>
    <w:rsid w:val="001E7FE9"/>
    <w:rsid w:val="001F0657"/>
    <w:rsid w:val="001F08AF"/>
    <w:rsid w:val="001F1959"/>
    <w:rsid w:val="001F2A46"/>
    <w:rsid w:val="001F3376"/>
    <w:rsid w:val="001F33A1"/>
    <w:rsid w:val="001F3E5B"/>
    <w:rsid w:val="002017CF"/>
    <w:rsid w:val="002025D0"/>
    <w:rsid w:val="0020344F"/>
    <w:rsid w:val="00203677"/>
    <w:rsid w:val="00205DAD"/>
    <w:rsid w:val="00212AB2"/>
    <w:rsid w:val="00213206"/>
    <w:rsid w:val="00213434"/>
    <w:rsid w:val="00213DEE"/>
    <w:rsid w:val="00214367"/>
    <w:rsid w:val="00215B86"/>
    <w:rsid w:val="00220326"/>
    <w:rsid w:val="0022082E"/>
    <w:rsid w:val="00220DA8"/>
    <w:rsid w:val="00221A42"/>
    <w:rsid w:val="00221B43"/>
    <w:rsid w:val="00222AA7"/>
    <w:rsid w:val="00223EA8"/>
    <w:rsid w:val="0022464C"/>
    <w:rsid w:val="00226B41"/>
    <w:rsid w:val="002327A2"/>
    <w:rsid w:val="00232F8E"/>
    <w:rsid w:val="00235CF7"/>
    <w:rsid w:val="0023663F"/>
    <w:rsid w:val="002413CA"/>
    <w:rsid w:val="00241A91"/>
    <w:rsid w:val="00242B17"/>
    <w:rsid w:val="00244004"/>
    <w:rsid w:val="0024402E"/>
    <w:rsid w:val="00244AB2"/>
    <w:rsid w:val="0024512C"/>
    <w:rsid w:val="00245527"/>
    <w:rsid w:val="00246F8E"/>
    <w:rsid w:val="00247B61"/>
    <w:rsid w:val="00250BA2"/>
    <w:rsid w:val="00251AD5"/>
    <w:rsid w:val="00252142"/>
    <w:rsid w:val="00252769"/>
    <w:rsid w:val="00256A53"/>
    <w:rsid w:val="002601B9"/>
    <w:rsid w:val="00260C57"/>
    <w:rsid w:val="00262133"/>
    <w:rsid w:val="00262F29"/>
    <w:rsid w:val="00263D5C"/>
    <w:rsid w:val="00263FC4"/>
    <w:rsid w:val="002640FE"/>
    <w:rsid w:val="002642F9"/>
    <w:rsid w:val="0026487A"/>
    <w:rsid w:val="00264C02"/>
    <w:rsid w:val="00264FCF"/>
    <w:rsid w:val="0026530E"/>
    <w:rsid w:val="00265358"/>
    <w:rsid w:val="0027242D"/>
    <w:rsid w:val="00273328"/>
    <w:rsid w:val="00273631"/>
    <w:rsid w:val="002738A2"/>
    <w:rsid w:val="002739D4"/>
    <w:rsid w:val="002739DA"/>
    <w:rsid w:val="00274EE1"/>
    <w:rsid w:val="0027597E"/>
    <w:rsid w:val="00275A13"/>
    <w:rsid w:val="00280D75"/>
    <w:rsid w:val="002820AB"/>
    <w:rsid w:val="002871F3"/>
    <w:rsid w:val="002908AA"/>
    <w:rsid w:val="002909B6"/>
    <w:rsid w:val="00293315"/>
    <w:rsid w:val="0029513A"/>
    <w:rsid w:val="00295858"/>
    <w:rsid w:val="00296398"/>
    <w:rsid w:val="002A00C3"/>
    <w:rsid w:val="002A1224"/>
    <w:rsid w:val="002A3009"/>
    <w:rsid w:val="002A3230"/>
    <w:rsid w:val="002A3ACB"/>
    <w:rsid w:val="002A3B95"/>
    <w:rsid w:val="002A564B"/>
    <w:rsid w:val="002A63CD"/>
    <w:rsid w:val="002A6730"/>
    <w:rsid w:val="002A6F1E"/>
    <w:rsid w:val="002A7A17"/>
    <w:rsid w:val="002A7D7D"/>
    <w:rsid w:val="002B0793"/>
    <w:rsid w:val="002B21E2"/>
    <w:rsid w:val="002B4B19"/>
    <w:rsid w:val="002B59FE"/>
    <w:rsid w:val="002C0149"/>
    <w:rsid w:val="002C0832"/>
    <w:rsid w:val="002C1269"/>
    <w:rsid w:val="002C265D"/>
    <w:rsid w:val="002C36E5"/>
    <w:rsid w:val="002C4112"/>
    <w:rsid w:val="002C652E"/>
    <w:rsid w:val="002C69C9"/>
    <w:rsid w:val="002D039B"/>
    <w:rsid w:val="002D1384"/>
    <w:rsid w:val="002D1970"/>
    <w:rsid w:val="002D44D3"/>
    <w:rsid w:val="002D499C"/>
    <w:rsid w:val="002D5361"/>
    <w:rsid w:val="002D6158"/>
    <w:rsid w:val="002E58ED"/>
    <w:rsid w:val="002E789B"/>
    <w:rsid w:val="002F3A9A"/>
    <w:rsid w:val="002F43AF"/>
    <w:rsid w:val="002F4DC4"/>
    <w:rsid w:val="002F5287"/>
    <w:rsid w:val="002F55CE"/>
    <w:rsid w:val="002F565F"/>
    <w:rsid w:val="002F712A"/>
    <w:rsid w:val="00300B08"/>
    <w:rsid w:val="00301779"/>
    <w:rsid w:val="0030411A"/>
    <w:rsid w:val="00305C14"/>
    <w:rsid w:val="003107A7"/>
    <w:rsid w:val="00310975"/>
    <w:rsid w:val="00311F54"/>
    <w:rsid w:val="003126CB"/>
    <w:rsid w:val="00312E2D"/>
    <w:rsid w:val="003143E2"/>
    <w:rsid w:val="00314569"/>
    <w:rsid w:val="00314A98"/>
    <w:rsid w:val="00315732"/>
    <w:rsid w:val="00316C9A"/>
    <w:rsid w:val="00317CAA"/>
    <w:rsid w:val="00320511"/>
    <w:rsid w:val="00321EEF"/>
    <w:rsid w:val="00322CCA"/>
    <w:rsid w:val="003238A9"/>
    <w:rsid w:val="0032656C"/>
    <w:rsid w:val="00330582"/>
    <w:rsid w:val="00331183"/>
    <w:rsid w:val="003327F2"/>
    <w:rsid w:val="00333BBC"/>
    <w:rsid w:val="003349CD"/>
    <w:rsid w:val="00334D5E"/>
    <w:rsid w:val="00335A41"/>
    <w:rsid w:val="00335DC4"/>
    <w:rsid w:val="003363D4"/>
    <w:rsid w:val="00336D99"/>
    <w:rsid w:val="00337AF6"/>
    <w:rsid w:val="00340066"/>
    <w:rsid w:val="00340165"/>
    <w:rsid w:val="00340AD4"/>
    <w:rsid w:val="00341C96"/>
    <w:rsid w:val="0034316E"/>
    <w:rsid w:val="00345413"/>
    <w:rsid w:val="00352A60"/>
    <w:rsid w:val="00352D7B"/>
    <w:rsid w:val="003533A3"/>
    <w:rsid w:val="00353640"/>
    <w:rsid w:val="00353A88"/>
    <w:rsid w:val="003541AF"/>
    <w:rsid w:val="00354454"/>
    <w:rsid w:val="00354CBD"/>
    <w:rsid w:val="00356625"/>
    <w:rsid w:val="0035675D"/>
    <w:rsid w:val="003600A8"/>
    <w:rsid w:val="00367F43"/>
    <w:rsid w:val="00367FC5"/>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1F9E"/>
    <w:rsid w:val="00382EDF"/>
    <w:rsid w:val="003835AA"/>
    <w:rsid w:val="0038468A"/>
    <w:rsid w:val="003856E8"/>
    <w:rsid w:val="00386B3D"/>
    <w:rsid w:val="00386C0E"/>
    <w:rsid w:val="00387E52"/>
    <w:rsid w:val="00390644"/>
    <w:rsid w:val="0039107D"/>
    <w:rsid w:val="00392B81"/>
    <w:rsid w:val="00394360"/>
    <w:rsid w:val="0039528D"/>
    <w:rsid w:val="003977E0"/>
    <w:rsid w:val="003A1305"/>
    <w:rsid w:val="003A156F"/>
    <w:rsid w:val="003A1D5D"/>
    <w:rsid w:val="003A23C4"/>
    <w:rsid w:val="003A3108"/>
    <w:rsid w:val="003A35D1"/>
    <w:rsid w:val="003A46B9"/>
    <w:rsid w:val="003A4F67"/>
    <w:rsid w:val="003A5CDA"/>
    <w:rsid w:val="003A6D30"/>
    <w:rsid w:val="003A7BFA"/>
    <w:rsid w:val="003B110C"/>
    <w:rsid w:val="003B2120"/>
    <w:rsid w:val="003B2F92"/>
    <w:rsid w:val="003B47D3"/>
    <w:rsid w:val="003B509C"/>
    <w:rsid w:val="003B50A5"/>
    <w:rsid w:val="003B5271"/>
    <w:rsid w:val="003B6D7B"/>
    <w:rsid w:val="003B7A94"/>
    <w:rsid w:val="003C0CE6"/>
    <w:rsid w:val="003C12E8"/>
    <w:rsid w:val="003C1FED"/>
    <w:rsid w:val="003C2604"/>
    <w:rsid w:val="003C3102"/>
    <w:rsid w:val="003C4E9D"/>
    <w:rsid w:val="003C543D"/>
    <w:rsid w:val="003C5D23"/>
    <w:rsid w:val="003C66B4"/>
    <w:rsid w:val="003C7889"/>
    <w:rsid w:val="003C7D5B"/>
    <w:rsid w:val="003D0607"/>
    <w:rsid w:val="003D0B8D"/>
    <w:rsid w:val="003D3DD6"/>
    <w:rsid w:val="003D3FCD"/>
    <w:rsid w:val="003D6248"/>
    <w:rsid w:val="003E002C"/>
    <w:rsid w:val="003E0736"/>
    <w:rsid w:val="003E0B49"/>
    <w:rsid w:val="003E0C74"/>
    <w:rsid w:val="003E0F62"/>
    <w:rsid w:val="003E12C1"/>
    <w:rsid w:val="003E2BD2"/>
    <w:rsid w:val="003E3F4D"/>
    <w:rsid w:val="003E4EAF"/>
    <w:rsid w:val="003E5E84"/>
    <w:rsid w:val="003E6164"/>
    <w:rsid w:val="003E63D8"/>
    <w:rsid w:val="003F1256"/>
    <w:rsid w:val="003F1D71"/>
    <w:rsid w:val="003F487B"/>
    <w:rsid w:val="003F4D22"/>
    <w:rsid w:val="003F5554"/>
    <w:rsid w:val="003F74CD"/>
    <w:rsid w:val="003F7FEF"/>
    <w:rsid w:val="00401382"/>
    <w:rsid w:val="00401817"/>
    <w:rsid w:val="004022C2"/>
    <w:rsid w:val="00406298"/>
    <w:rsid w:val="0040634E"/>
    <w:rsid w:val="0040644C"/>
    <w:rsid w:val="004067A6"/>
    <w:rsid w:val="00407817"/>
    <w:rsid w:val="00412090"/>
    <w:rsid w:val="00413E54"/>
    <w:rsid w:val="00415652"/>
    <w:rsid w:val="00415EE9"/>
    <w:rsid w:val="00416095"/>
    <w:rsid w:val="0042095D"/>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280C"/>
    <w:rsid w:val="00432AFB"/>
    <w:rsid w:val="0043354F"/>
    <w:rsid w:val="0043387C"/>
    <w:rsid w:val="004356E7"/>
    <w:rsid w:val="0043609D"/>
    <w:rsid w:val="00436969"/>
    <w:rsid w:val="00437BBE"/>
    <w:rsid w:val="00437C38"/>
    <w:rsid w:val="00441894"/>
    <w:rsid w:val="00441AEC"/>
    <w:rsid w:val="0044203F"/>
    <w:rsid w:val="00442F8F"/>
    <w:rsid w:val="0044393D"/>
    <w:rsid w:val="004439E0"/>
    <w:rsid w:val="00443B6E"/>
    <w:rsid w:val="00445563"/>
    <w:rsid w:val="00445CE3"/>
    <w:rsid w:val="00445F41"/>
    <w:rsid w:val="00446F4E"/>
    <w:rsid w:val="00451316"/>
    <w:rsid w:val="00451FDA"/>
    <w:rsid w:val="004521B9"/>
    <w:rsid w:val="00453D91"/>
    <w:rsid w:val="00453F5D"/>
    <w:rsid w:val="004544D4"/>
    <w:rsid w:val="00454B07"/>
    <w:rsid w:val="004551DA"/>
    <w:rsid w:val="00456A9F"/>
    <w:rsid w:val="00456CDC"/>
    <w:rsid w:val="004600D9"/>
    <w:rsid w:val="004606C2"/>
    <w:rsid w:val="0046071F"/>
    <w:rsid w:val="00460F45"/>
    <w:rsid w:val="004610E8"/>
    <w:rsid w:val="004612C8"/>
    <w:rsid w:val="00461EA5"/>
    <w:rsid w:val="00462574"/>
    <w:rsid w:val="00462BBC"/>
    <w:rsid w:val="00464F70"/>
    <w:rsid w:val="00465AAB"/>
    <w:rsid w:val="004713CE"/>
    <w:rsid w:val="00471C9D"/>
    <w:rsid w:val="00471E85"/>
    <w:rsid w:val="004736D0"/>
    <w:rsid w:val="00473B5A"/>
    <w:rsid w:val="004746BE"/>
    <w:rsid w:val="00475D53"/>
    <w:rsid w:val="0047613B"/>
    <w:rsid w:val="0048140A"/>
    <w:rsid w:val="004831C9"/>
    <w:rsid w:val="004832B0"/>
    <w:rsid w:val="00483405"/>
    <w:rsid w:val="0048357E"/>
    <w:rsid w:val="0048380F"/>
    <w:rsid w:val="00486900"/>
    <w:rsid w:val="00487C26"/>
    <w:rsid w:val="004903C0"/>
    <w:rsid w:val="00490717"/>
    <w:rsid w:val="00490A26"/>
    <w:rsid w:val="00491D27"/>
    <w:rsid w:val="0049427C"/>
    <w:rsid w:val="00494BF3"/>
    <w:rsid w:val="0049726A"/>
    <w:rsid w:val="00497FF7"/>
    <w:rsid w:val="004A105A"/>
    <w:rsid w:val="004A2AC3"/>
    <w:rsid w:val="004A3FD4"/>
    <w:rsid w:val="004A46F5"/>
    <w:rsid w:val="004A474F"/>
    <w:rsid w:val="004A785D"/>
    <w:rsid w:val="004A7A0D"/>
    <w:rsid w:val="004B16B8"/>
    <w:rsid w:val="004B219C"/>
    <w:rsid w:val="004B21DF"/>
    <w:rsid w:val="004B27D8"/>
    <w:rsid w:val="004B3F79"/>
    <w:rsid w:val="004B4A07"/>
    <w:rsid w:val="004B6E67"/>
    <w:rsid w:val="004C0508"/>
    <w:rsid w:val="004C06A9"/>
    <w:rsid w:val="004C07E3"/>
    <w:rsid w:val="004C2225"/>
    <w:rsid w:val="004C4ACF"/>
    <w:rsid w:val="004C4E49"/>
    <w:rsid w:val="004C518C"/>
    <w:rsid w:val="004C564E"/>
    <w:rsid w:val="004C65A3"/>
    <w:rsid w:val="004C675F"/>
    <w:rsid w:val="004C74E5"/>
    <w:rsid w:val="004D2860"/>
    <w:rsid w:val="004D3103"/>
    <w:rsid w:val="004D3264"/>
    <w:rsid w:val="004D3481"/>
    <w:rsid w:val="004D52CF"/>
    <w:rsid w:val="004D54C7"/>
    <w:rsid w:val="004D5F4A"/>
    <w:rsid w:val="004D6591"/>
    <w:rsid w:val="004D7FC9"/>
    <w:rsid w:val="004E12DD"/>
    <w:rsid w:val="004E241D"/>
    <w:rsid w:val="004E3571"/>
    <w:rsid w:val="004E47DE"/>
    <w:rsid w:val="004E4F4C"/>
    <w:rsid w:val="004E53E3"/>
    <w:rsid w:val="004E6B8D"/>
    <w:rsid w:val="004E6F92"/>
    <w:rsid w:val="004E7AC4"/>
    <w:rsid w:val="004E7C4A"/>
    <w:rsid w:val="004F3F04"/>
    <w:rsid w:val="004F4796"/>
    <w:rsid w:val="004F4842"/>
    <w:rsid w:val="004F4BFF"/>
    <w:rsid w:val="004F6224"/>
    <w:rsid w:val="004F6ECF"/>
    <w:rsid w:val="004F7D59"/>
    <w:rsid w:val="0050153C"/>
    <w:rsid w:val="00503329"/>
    <w:rsid w:val="0050424B"/>
    <w:rsid w:val="005054EF"/>
    <w:rsid w:val="0050713A"/>
    <w:rsid w:val="00507251"/>
    <w:rsid w:val="005136AB"/>
    <w:rsid w:val="00513E41"/>
    <w:rsid w:val="005142E3"/>
    <w:rsid w:val="00517852"/>
    <w:rsid w:val="005179EA"/>
    <w:rsid w:val="00521351"/>
    <w:rsid w:val="00521C19"/>
    <w:rsid w:val="00523149"/>
    <w:rsid w:val="005238D5"/>
    <w:rsid w:val="005248E5"/>
    <w:rsid w:val="0052559B"/>
    <w:rsid w:val="00532212"/>
    <w:rsid w:val="005331E2"/>
    <w:rsid w:val="00534D59"/>
    <w:rsid w:val="00537584"/>
    <w:rsid w:val="005401C3"/>
    <w:rsid w:val="00542857"/>
    <w:rsid w:val="0054291F"/>
    <w:rsid w:val="00542C87"/>
    <w:rsid w:val="00543928"/>
    <w:rsid w:val="00546AC8"/>
    <w:rsid w:val="0055556C"/>
    <w:rsid w:val="0055566B"/>
    <w:rsid w:val="00556F47"/>
    <w:rsid w:val="00561958"/>
    <w:rsid w:val="0056229F"/>
    <w:rsid w:val="0056419A"/>
    <w:rsid w:val="00564D0A"/>
    <w:rsid w:val="00564F42"/>
    <w:rsid w:val="005654EE"/>
    <w:rsid w:val="00566308"/>
    <w:rsid w:val="005663A0"/>
    <w:rsid w:val="0056698F"/>
    <w:rsid w:val="00570D5B"/>
    <w:rsid w:val="00571727"/>
    <w:rsid w:val="005718BF"/>
    <w:rsid w:val="0057237B"/>
    <w:rsid w:val="00572ACA"/>
    <w:rsid w:val="005746B9"/>
    <w:rsid w:val="00574AF2"/>
    <w:rsid w:val="005764CE"/>
    <w:rsid w:val="00576AAB"/>
    <w:rsid w:val="00577081"/>
    <w:rsid w:val="0058049B"/>
    <w:rsid w:val="00581E8E"/>
    <w:rsid w:val="0058242A"/>
    <w:rsid w:val="00583B59"/>
    <w:rsid w:val="0058409A"/>
    <w:rsid w:val="0058443D"/>
    <w:rsid w:val="0058469D"/>
    <w:rsid w:val="00585363"/>
    <w:rsid w:val="0058631D"/>
    <w:rsid w:val="00591C2E"/>
    <w:rsid w:val="00591D85"/>
    <w:rsid w:val="005939BF"/>
    <w:rsid w:val="0059489A"/>
    <w:rsid w:val="00594A70"/>
    <w:rsid w:val="00595F5F"/>
    <w:rsid w:val="005977FC"/>
    <w:rsid w:val="00597ABD"/>
    <w:rsid w:val="00597EF3"/>
    <w:rsid w:val="005A0C2A"/>
    <w:rsid w:val="005A2368"/>
    <w:rsid w:val="005A2441"/>
    <w:rsid w:val="005A35E7"/>
    <w:rsid w:val="005A42B3"/>
    <w:rsid w:val="005A4860"/>
    <w:rsid w:val="005B0C02"/>
    <w:rsid w:val="005B3AB0"/>
    <w:rsid w:val="005B3F84"/>
    <w:rsid w:val="005B465A"/>
    <w:rsid w:val="005B4A80"/>
    <w:rsid w:val="005B4AB0"/>
    <w:rsid w:val="005B50C6"/>
    <w:rsid w:val="005B5337"/>
    <w:rsid w:val="005B7FEC"/>
    <w:rsid w:val="005C124D"/>
    <w:rsid w:val="005C2AD2"/>
    <w:rsid w:val="005C3C0F"/>
    <w:rsid w:val="005C40F5"/>
    <w:rsid w:val="005C423B"/>
    <w:rsid w:val="005C52BE"/>
    <w:rsid w:val="005C636B"/>
    <w:rsid w:val="005D049C"/>
    <w:rsid w:val="005D0C18"/>
    <w:rsid w:val="005D1282"/>
    <w:rsid w:val="005D13F3"/>
    <w:rsid w:val="005D2283"/>
    <w:rsid w:val="005D278E"/>
    <w:rsid w:val="005D2CEF"/>
    <w:rsid w:val="005D3E2A"/>
    <w:rsid w:val="005D4155"/>
    <w:rsid w:val="005D5099"/>
    <w:rsid w:val="005D56DA"/>
    <w:rsid w:val="005D5F47"/>
    <w:rsid w:val="005D5FBF"/>
    <w:rsid w:val="005D6166"/>
    <w:rsid w:val="005D71EC"/>
    <w:rsid w:val="005E2271"/>
    <w:rsid w:val="005E245A"/>
    <w:rsid w:val="005E2C94"/>
    <w:rsid w:val="005E5427"/>
    <w:rsid w:val="005E5D41"/>
    <w:rsid w:val="005E5F9E"/>
    <w:rsid w:val="005E5FE4"/>
    <w:rsid w:val="005F08FA"/>
    <w:rsid w:val="005F0A3E"/>
    <w:rsid w:val="005F0CD7"/>
    <w:rsid w:val="005F1416"/>
    <w:rsid w:val="005F1EA6"/>
    <w:rsid w:val="005F23BB"/>
    <w:rsid w:val="005F24A6"/>
    <w:rsid w:val="005F275F"/>
    <w:rsid w:val="005F278F"/>
    <w:rsid w:val="005F35FC"/>
    <w:rsid w:val="005F366F"/>
    <w:rsid w:val="005F3E99"/>
    <w:rsid w:val="005F44F1"/>
    <w:rsid w:val="005F473F"/>
    <w:rsid w:val="005F5A9E"/>
    <w:rsid w:val="005F7BE5"/>
    <w:rsid w:val="006021E3"/>
    <w:rsid w:val="00602E67"/>
    <w:rsid w:val="006032DA"/>
    <w:rsid w:val="006034C0"/>
    <w:rsid w:val="00603AE6"/>
    <w:rsid w:val="00603CDF"/>
    <w:rsid w:val="00604918"/>
    <w:rsid w:val="00606EB8"/>
    <w:rsid w:val="0060771D"/>
    <w:rsid w:val="00610017"/>
    <w:rsid w:val="00610D92"/>
    <w:rsid w:val="0061279A"/>
    <w:rsid w:val="00612F38"/>
    <w:rsid w:val="006132D7"/>
    <w:rsid w:val="0061392A"/>
    <w:rsid w:val="00613C58"/>
    <w:rsid w:val="006142BE"/>
    <w:rsid w:val="006146EF"/>
    <w:rsid w:val="00614B22"/>
    <w:rsid w:val="006150A8"/>
    <w:rsid w:val="0061545F"/>
    <w:rsid w:val="00616C80"/>
    <w:rsid w:val="00617806"/>
    <w:rsid w:val="00620363"/>
    <w:rsid w:val="006214D4"/>
    <w:rsid w:val="006231AE"/>
    <w:rsid w:val="0062329C"/>
    <w:rsid w:val="00623474"/>
    <w:rsid w:val="0062370A"/>
    <w:rsid w:val="00623EDB"/>
    <w:rsid w:val="00623F09"/>
    <w:rsid w:val="0062546A"/>
    <w:rsid w:val="006257E4"/>
    <w:rsid w:val="00626565"/>
    <w:rsid w:val="00627228"/>
    <w:rsid w:val="006273C7"/>
    <w:rsid w:val="0063006D"/>
    <w:rsid w:val="00630AA6"/>
    <w:rsid w:val="0063198D"/>
    <w:rsid w:val="00632088"/>
    <w:rsid w:val="00632BC2"/>
    <w:rsid w:val="0063497A"/>
    <w:rsid w:val="00634E04"/>
    <w:rsid w:val="006377A9"/>
    <w:rsid w:val="006412BD"/>
    <w:rsid w:val="00641763"/>
    <w:rsid w:val="006437FF"/>
    <w:rsid w:val="00643CDE"/>
    <w:rsid w:val="00644F94"/>
    <w:rsid w:val="006474AB"/>
    <w:rsid w:val="00647DAE"/>
    <w:rsid w:val="00650DF4"/>
    <w:rsid w:val="006527DF"/>
    <w:rsid w:val="00653F9B"/>
    <w:rsid w:val="006564C4"/>
    <w:rsid w:val="00657E3E"/>
    <w:rsid w:val="00657F6B"/>
    <w:rsid w:val="00660132"/>
    <w:rsid w:val="00660B22"/>
    <w:rsid w:val="00662A3A"/>
    <w:rsid w:val="00664198"/>
    <w:rsid w:val="00665DAD"/>
    <w:rsid w:val="0066728B"/>
    <w:rsid w:val="006672B8"/>
    <w:rsid w:val="00670531"/>
    <w:rsid w:val="00670BF3"/>
    <w:rsid w:val="0067197F"/>
    <w:rsid w:val="0067358E"/>
    <w:rsid w:val="00673B03"/>
    <w:rsid w:val="006741A8"/>
    <w:rsid w:val="00675258"/>
    <w:rsid w:val="006762E1"/>
    <w:rsid w:val="0067659E"/>
    <w:rsid w:val="00676927"/>
    <w:rsid w:val="00676996"/>
    <w:rsid w:val="00677B13"/>
    <w:rsid w:val="00677CA5"/>
    <w:rsid w:val="00680693"/>
    <w:rsid w:val="00680FBD"/>
    <w:rsid w:val="006821C8"/>
    <w:rsid w:val="00682655"/>
    <w:rsid w:val="00682A4A"/>
    <w:rsid w:val="00683619"/>
    <w:rsid w:val="00685B92"/>
    <w:rsid w:val="00686C86"/>
    <w:rsid w:val="006875A6"/>
    <w:rsid w:val="00687EBE"/>
    <w:rsid w:val="006904AD"/>
    <w:rsid w:val="00690A63"/>
    <w:rsid w:val="006930D6"/>
    <w:rsid w:val="00693757"/>
    <w:rsid w:val="00694546"/>
    <w:rsid w:val="006947F0"/>
    <w:rsid w:val="006955DC"/>
    <w:rsid w:val="006972C3"/>
    <w:rsid w:val="00697B6D"/>
    <w:rsid w:val="006A0F6C"/>
    <w:rsid w:val="006A109C"/>
    <w:rsid w:val="006A31AF"/>
    <w:rsid w:val="006A4762"/>
    <w:rsid w:val="006A554A"/>
    <w:rsid w:val="006A5C82"/>
    <w:rsid w:val="006A7AAB"/>
    <w:rsid w:val="006B118F"/>
    <w:rsid w:val="006B1E9A"/>
    <w:rsid w:val="006B2583"/>
    <w:rsid w:val="006B28AB"/>
    <w:rsid w:val="006B29B2"/>
    <w:rsid w:val="006B4518"/>
    <w:rsid w:val="006B4D16"/>
    <w:rsid w:val="006B4E87"/>
    <w:rsid w:val="006B69CF"/>
    <w:rsid w:val="006B7887"/>
    <w:rsid w:val="006C0B00"/>
    <w:rsid w:val="006C15F7"/>
    <w:rsid w:val="006C2268"/>
    <w:rsid w:val="006C3550"/>
    <w:rsid w:val="006C57BA"/>
    <w:rsid w:val="006C597B"/>
    <w:rsid w:val="006C6620"/>
    <w:rsid w:val="006C69EE"/>
    <w:rsid w:val="006C6F22"/>
    <w:rsid w:val="006C776C"/>
    <w:rsid w:val="006C79BB"/>
    <w:rsid w:val="006C7DFF"/>
    <w:rsid w:val="006D0708"/>
    <w:rsid w:val="006D0846"/>
    <w:rsid w:val="006D1655"/>
    <w:rsid w:val="006D1804"/>
    <w:rsid w:val="006D240C"/>
    <w:rsid w:val="006D27DD"/>
    <w:rsid w:val="006D425E"/>
    <w:rsid w:val="006D48A6"/>
    <w:rsid w:val="006D57D8"/>
    <w:rsid w:val="006D5C2C"/>
    <w:rsid w:val="006D6390"/>
    <w:rsid w:val="006D7AB4"/>
    <w:rsid w:val="006D7ABD"/>
    <w:rsid w:val="006E0235"/>
    <w:rsid w:val="006E10F6"/>
    <w:rsid w:val="006E1E19"/>
    <w:rsid w:val="006E24DB"/>
    <w:rsid w:val="006E2767"/>
    <w:rsid w:val="006E30D5"/>
    <w:rsid w:val="006E35F2"/>
    <w:rsid w:val="006E373B"/>
    <w:rsid w:val="006E4391"/>
    <w:rsid w:val="006E4D4D"/>
    <w:rsid w:val="006E6264"/>
    <w:rsid w:val="006E714E"/>
    <w:rsid w:val="006F0740"/>
    <w:rsid w:val="006F25CF"/>
    <w:rsid w:val="006F26BE"/>
    <w:rsid w:val="006F35E4"/>
    <w:rsid w:val="006F4261"/>
    <w:rsid w:val="006F4F34"/>
    <w:rsid w:val="006F6E1B"/>
    <w:rsid w:val="007001D0"/>
    <w:rsid w:val="007003DA"/>
    <w:rsid w:val="00700F1A"/>
    <w:rsid w:val="00701012"/>
    <w:rsid w:val="007013F6"/>
    <w:rsid w:val="007030FA"/>
    <w:rsid w:val="0070400C"/>
    <w:rsid w:val="00704319"/>
    <w:rsid w:val="00704BFD"/>
    <w:rsid w:val="0070509E"/>
    <w:rsid w:val="007050C2"/>
    <w:rsid w:val="007058A0"/>
    <w:rsid w:val="00705CAC"/>
    <w:rsid w:val="0070626C"/>
    <w:rsid w:val="00706C09"/>
    <w:rsid w:val="007104F7"/>
    <w:rsid w:val="0071184A"/>
    <w:rsid w:val="00712E6D"/>
    <w:rsid w:val="007134AA"/>
    <w:rsid w:val="00713C9F"/>
    <w:rsid w:val="007155E9"/>
    <w:rsid w:val="007158C3"/>
    <w:rsid w:val="007159BA"/>
    <w:rsid w:val="0071674B"/>
    <w:rsid w:val="00720B5D"/>
    <w:rsid w:val="0072143A"/>
    <w:rsid w:val="00722C1F"/>
    <w:rsid w:val="007235E2"/>
    <w:rsid w:val="0072360D"/>
    <w:rsid w:val="00725364"/>
    <w:rsid w:val="00725ABE"/>
    <w:rsid w:val="00726174"/>
    <w:rsid w:val="00727ADF"/>
    <w:rsid w:val="007303A5"/>
    <w:rsid w:val="00730938"/>
    <w:rsid w:val="0073167A"/>
    <w:rsid w:val="0073176C"/>
    <w:rsid w:val="007317B6"/>
    <w:rsid w:val="00731E59"/>
    <w:rsid w:val="00733C81"/>
    <w:rsid w:val="007344CE"/>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502BB"/>
    <w:rsid w:val="007505F0"/>
    <w:rsid w:val="00752C85"/>
    <w:rsid w:val="00753497"/>
    <w:rsid w:val="00753872"/>
    <w:rsid w:val="007549DF"/>
    <w:rsid w:val="00755587"/>
    <w:rsid w:val="007567AD"/>
    <w:rsid w:val="00756BAA"/>
    <w:rsid w:val="00756CBB"/>
    <w:rsid w:val="007570DD"/>
    <w:rsid w:val="0075756E"/>
    <w:rsid w:val="007576F8"/>
    <w:rsid w:val="0076086C"/>
    <w:rsid w:val="007613E9"/>
    <w:rsid w:val="00764006"/>
    <w:rsid w:val="00764B56"/>
    <w:rsid w:val="00765B4B"/>
    <w:rsid w:val="007663DF"/>
    <w:rsid w:val="007674EB"/>
    <w:rsid w:val="00767D6D"/>
    <w:rsid w:val="00772256"/>
    <w:rsid w:val="007729BE"/>
    <w:rsid w:val="00772BDC"/>
    <w:rsid w:val="00772FEA"/>
    <w:rsid w:val="007744C2"/>
    <w:rsid w:val="00775A54"/>
    <w:rsid w:val="00775B91"/>
    <w:rsid w:val="00776267"/>
    <w:rsid w:val="007771C5"/>
    <w:rsid w:val="00780173"/>
    <w:rsid w:val="007810A2"/>
    <w:rsid w:val="007839B3"/>
    <w:rsid w:val="007870FB"/>
    <w:rsid w:val="00787E86"/>
    <w:rsid w:val="007922BE"/>
    <w:rsid w:val="007927AE"/>
    <w:rsid w:val="00794459"/>
    <w:rsid w:val="00796145"/>
    <w:rsid w:val="0079628C"/>
    <w:rsid w:val="007963CB"/>
    <w:rsid w:val="007963FC"/>
    <w:rsid w:val="0079643E"/>
    <w:rsid w:val="00796F78"/>
    <w:rsid w:val="00797E30"/>
    <w:rsid w:val="00797F3B"/>
    <w:rsid w:val="007A0463"/>
    <w:rsid w:val="007A0C76"/>
    <w:rsid w:val="007A3A1F"/>
    <w:rsid w:val="007A3E95"/>
    <w:rsid w:val="007A4AEF"/>
    <w:rsid w:val="007A51FF"/>
    <w:rsid w:val="007A54A1"/>
    <w:rsid w:val="007A5FAD"/>
    <w:rsid w:val="007A7055"/>
    <w:rsid w:val="007A7748"/>
    <w:rsid w:val="007B043A"/>
    <w:rsid w:val="007B1C97"/>
    <w:rsid w:val="007B3696"/>
    <w:rsid w:val="007B5CAA"/>
    <w:rsid w:val="007B5E3F"/>
    <w:rsid w:val="007B630A"/>
    <w:rsid w:val="007C0613"/>
    <w:rsid w:val="007C1E1D"/>
    <w:rsid w:val="007C4CB0"/>
    <w:rsid w:val="007C52D8"/>
    <w:rsid w:val="007C5B9F"/>
    <w:rsid w:val="007C7364"/>
    <w:rsid w:val="007C7CBA"/>
    <w:rsid w:val="007D08F3"/>
    <w:rsid w:val="007D0C0F"/>
    <w:rsid w:val="007D0E42"/>
    <w:rsid w:val="007D148B"/>
    <w:rsid w:val="007D1925"/>
    <w:rsid w:val="007D3B28"/>
    <w:rsid w:val="007D5FF2"/>
    <w:rsid w:val="007D6797"/>
    <w:rsid w:val="007D6ACE"/>
    <w:rsid w:val="007D7137"/>
    <w:rsid w:val="007E0E4A"/>
    <w:rsid w:val="007E1D42"/>
    <w:rsid w:val="007E43B7"/>
    <w:rsid w:val="007E663A"/>
    <w:rsid w:val="007E69EF"/>
    <w:rsid w:val="007F1CEE"/>
    <w:rsid w:val="007F2311"/>
    <w:rsid w:val="007F295E"/>
    <w:rsid w:val="007F3054"/>
    <w:rsid w:val="007F34B1"/>
    <w:rsid w:val="007F4E5E"/>
    <w:rsid w:val="007F4F96"/>
    <w:rsid w:val="007F5E8F"/>
    <w:rsid w:val="007F6A11"/>
    <w:rsid w:val="007F6B43"/>
    <w:rsid w:val="007F6EE4"/>
    <w:rsid w:val="007F7A53"/>
    <w:rsid w:val="007F7B9D"/>
    <w:rsid w:val="008009D8"/>
    <w:rsid w:val="00802C56"/>
    <w:rsid w:val="00805136"/>
    <w:rsid w:val="00805172"/>
    <w:rsid w:val="00805546"/>
    <w:rsid w:val="00806BE4"/>
    <w:rsid w:val="00806F99"/>
    <w:rsid w:val="00807724"/>
    <w:rsid w:val="008106CD"/>
    <w:rsid w:val="00810B98"/>
    <w:rsid w:val="008116B7"/>
    <w:rsid w:val="00812493"/>
    <w:rsid w:val="0081251A"/>
    <w:rsid w:val="00812567"/>
    <w:rsid w:val="00812AA2"/>
    <w:rsid w:val="00812E4D"/>
    <w:rsid w:val="008133EE"/>
    <w:rsid w:val="00814130"/>
    <w:rsid w:val="008156F3"/>
    <w:rsid w:val="0081610E"/>
    <w:rsid w:val="00816372"/>
    <w:rsid w:val="00816A51"/>
    <w:rsid w:val="00816E56"/>
    <w:rsid w:val="00820146"/>
    <w:rsid w:val="008212BD"/>
    <w:rsid w:val="0082145B"/>
    <w:rsid w:val="00821891"/>
    <w:rsid w:val="00821A26"/>
    <w:rsid w:val="00821F27"/>
    <w:rsid w:val="0082248B"/>
    <w:rsid w:val="00822882"/>
    <w:rsid w:val="00823625"/>
    <w:rsid w:val="00825383"/>
    <w:rsid w:val="008268AB"/>
    <w:rsid w:val="0082729D"/>
    <w:rsid w:val="00830ECC"/>
    <w:rsid w:val="008324D5"/>
    <w:rsid w:val="00832ACB"/>
    <w:rsid w:val="00832CDA"/>
    <w:rsid w:val="00834F4B"/>
    <w:rsid w:val="0083565E"/>
    <w:rsid w:val="00835969"/>
    <w:rsid w:val="00837507"/>
    <w:rsid w:val="00837915"/>
    <w:rsid w:val="00837AA9"/>
    <w:rsid w:val="00840838"/>
    <w:rsid w:val="008408FD"/>
    <w:rsid w:val="00841CBB"/>
    <w:rsid w:val="0084242F"/>
    <w:rsid w:val="0084299A"/>
    <w:rsid w:val="00845122"/>
    <w:rsid w:val="008458F7"/>
    <w:rsid w:val="00850226"/>
    <w:rsid w:val="00850C48"/>
    <w:rsid w:val="008528CC"/>
    <w:rsid w:val="00852D42"/>
    <w:rsid w:val="00853023"/>
    <w:rsid w:val="00853570"/>
    <w:rsid w:val="008543FB"/>
    <w:rsid w:val="00854D8B"/>
    <w:rsid w:val="008557CB"/>
    <w:rsid w:val="008559DC"/>
    <w:rsid w:val="00855A02"/>
    <w:rsid w:val="00855DE0"/>
    <w:rsid w:val="00855ECE"/>
    <w:rsid w:val="0085607B"/>
    <w:rsid w:val="00856E68"/>
    <w:rsid w:val="00860B5B"/>
    <w:rsid w:val="00860B9E"/>
    <w:rsid w:val="00860C5A"/>
    <w:rsid w:val="0086499D"/>
    <w:rsid w:val="00864F2B"/>
    <w:rsid w:val="0086510A"/>
    <w:rsid w:val="0086725E"/>
    <w:rsid w:val="00870A0F"/>
    <w:rsid w:val="00870F16"/>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216"/>
    <w:rsid w:val="00885756"/>
    <w:rsid w:val="00886062"/>
    <w:rsid w:val="00892BEE"/>
    <w:rsid w:val="008934A3"/>
    <w:rsid w:val="008943C4"/>
    <w:rsid w:val="0089485A"/>
    <w:rsid w:val="00894DA5"/>
    <w:rsid w:val="00896E3C"/>
    <w:rsid w:val="00896FDB"/>
    <w:rsid w:val="00897119"/>
    <w:rsid w:val="008A27C2"/>
    <w:rsid w:val="008A5DAA"/>
    <w:rsid w:val="008A6166"/>
    <w:rsid w:val="008A6DE7"/>
    <w:rsid w:val="008A7772"/>
    <w:rsid w:val="008A7D50"/>
    <w:rsid w:val="008B0223"/>
    <w:rsid w:val="008B0FC3"/>
    <w:rsid w:val="008B22EE"/>
    <w:rsid w:val="008B2799"/>
    <w:rsid w:val="008B465D"/>
    <w:rsid w:val="008B6062"/>
    <w:rsid w:val="008B6858"/>
    <w:rsid w:val="008B7506"/>
    <w:rsid w:val="008B7BC1"/>
    <w:rsid w:val="008B7DCA"/>
    <w:rsid w:val="008C0460"/>
    <w:rsid w:val="008C096E"/>
    <w:rsid w:val="008C09CC"/>
    <w:rsid w:val="008C0FBD"/>
    <w:rsid w:val="008C1E4D"/>
    <w:rsid w:val="008C1F66"/>
    <w:rsid w:val="008C2429"/>
    <w:rsid w:val="008C3577"/>
    <w:rsid w:val="008C53F8"/>
    <w:rsid w:val="008C5913"/>
    <w:rsid w:val="008C5A1B"/>
    <w:rsid w:val="008C62E5"/>
    <w:rsid w:val="008C7CB8"/>
    <w:rsid w:val="008D0296"/>
    <w:rsid w:val="008D06BE"/>
    <w:rsid w:val="008D1D93"/>
    <w:rsid w:val="008D2658"/>
    <w:rsid w:val="008D3DF9"/>
    <w:rsid w:val="008D4938"/>
    <w:rsid w:val="008D4D70"/>
    <w:rsid w:val="008D54BE"/>
    <w:rsid w:val="008D565D"/>
    <w:rsid w:val="008D5D3E"/>
    <w:rsid w:val="008D5D71"/>
    <w:rsid w:val="008D5F50"/>
    <w:rsid w:val="008D6535"/>
    <w:rsid w:val="008D6A9B"/>
    <w:rsid w:val="008D7250"/>
    <w:rsid w:val="008D7C58"/>
    <w:rsid w:val="008E0327"/>
    <w:rsid w:val="008E224F"/>
    <w:rsid w:val="008E39F5"/>
    <w:rsid w:val="008E435F"/>
    <w:rsid w:val="008E47BC"/>
    <w:rsid w:val="008E5000"/>
    <w:rsid w:val="008E60F5"/>
    <w:rsid w:val="008E6F0C"/>
    <w:rsid w:val="008E7A6F"/>
    <w:rsid w:val="008F0833"/>
    <w:rsid w:val="008F0F4D"/>
    <w:rsid w:val="008F2AC5"/>
    <w:rsid w:val="008F398E"/>
    <w:rsid w:val="008F42CE"/>
    <w:rsid w:val="008F5AAD"/>
    <w:rsid w:val="008F622D"/>
    <w:rsid w:val="008F6DA7"/>
    <w:rsid w:val="009002FD"/>
    <w:rsid w:val="009006FC"/>
    <w:rsid w:val="009010FE"/>
    <w:rsid w:val="00901B0B"/>
    <w:rsid w:val="009025B7"/>
    <w:rsid w:val="00902B95"/>
    <w:rsid w:val="00903DEA"/>
    <w:rsid w:val="0090585A"/>
    <w:rsid w:val="0090589F"/>
    <w:rsid w:val="0090593C"/>
    <w:rsid w:val="00906A1B"/>
    <w:rsid w:val="00906DC4"/>
    <w:rsid w:val="009121BF"/>
    <w:rsid w:val="009123B7"/>
    <w:rsid w:val="00913084"/>
    <w:rsid w:val="00913A82"/>
    <w:rsid w:val="00914596"/>
    <w:rsid w:val="00915902"/>
    <w:rsid w:val="00916714"/>
    <w:rsid w:val="00917115"/>
    <w:rsid w:val="00917CF1"/>
    <w:rsid w:val="00920D0B"/>
    <w:rsid w:val="009214E5"/>
    <w:rsid w:val="00922878"/>
    <w:rsid w:val="00924271"/>
    <w:rsid w:val="009242D9"/>
    <w:rsid w:val="0092444F"/>
    <w:rsid w:val="009246DB"/>
    <w:rsid w:val="009248C3"/>
    <w:rsid w:val="009275F8"/>
    <w:rsid w:val="009321FE"/>
    <w:rsid w:val="00934279"/>
    <w:rsid w:val="00942462"/>
    <w:rsid w:val="009428A3"/>
    <w:rsid w:val="00942EDF"/>
    <w:rsid w:val="009440B4"/>
    <w:rsid w:val="0094458E"/>
    <w:rsid w:val="00944A2A"/>
    <w:rsid w:val="00946640"/>
    <w:rsid w:val="00950B7B"/>
    <w:rsid w:val="009560B9"/>
    <w:rsid w:val="00956F14"/>
    <w:rsid w:val="009572CC"/>
    <w:rsid w:val="009600F6"/>
    <w:rsid w:val="00960EC7"/>
    <w:rsid w:val="00963BEA"/>
    <w:rsid w:val="0096506B"/>
    <w:rsid w:val="00965E18"/>
    <w:rsid w:val="00966694"/>
    <w:rsid w:val="00966AAB"/>
    <w:rsid w:val="00966D14"/>
    <w:rsid w:val="00967ED4"/>
    <w:rsid w:val="00970363"/>
    <w:rsid w:val="00970B2A"/>
    <w:rsid w:val="009714B3"/>
    <w:rsid w:val="00972CF6"/>
    <w:rsid w:val="00973964"/>
    <w:rsid w:val="00974C9E"/>
    <w:rsid w:val="00975DEA"/>
    <w:rsid w:val="009767FB"/>
    <w:rsid w:val="009768AC"/>
    <w:rsid w:val="009768E6"/>
    <w:rsid w:val="00976D33"/>
    <w:rsid w:val="00981E8E"/>
    <w:rsid w:val="00981F5D"/>
    <w:rsid w:val="00983FB8"/>
    <w:rsid w:val="009843FC"/>
    <w:rsid w:val="009849E9"/>
    <w:rsid w:val="00986D52"/>
    <w:rsid w:val="0099164D"/>
    <w:rsid w:val="00991FF1"/>
    <w:rsid w:val="0099272E"/>
    <w:rsid w:val="0099706A"/>
    <w:rsid w:val="00997819"/>
    <w:rsid w:val="00997C23"/>
    <w:rsid w:val="009A01E3"/>
    <w:rsid w:val="009A206D"/>
    <w:rsid w:val="009A2357"/>
    <w:rsid w:val="009A3ACB"/>
    <w:rsid w:val="009A4A5F"/>
    <w:rsid w:val="009A5277"/>
    <w:rsid w:val="009A61A0"/>
    <w:rsid w:val="009A7E34"/>
    <w:rsid w:val="009B0962"/>
    <w:rsid w:val="009B2022"/>
    <w:rsid w:val="009B24D5"/>
    <w:rsid w:val="009B268D"/>
    <w:rsid w:val="009B3FC5"/>
    <w:rsid w:val="009B45D5"/>
    <w:rsid w:val="009B6420"/>
    <w:rsid w:val="009B6DA3"/>
    <w:rsid w:val="009B7543"/>
    <w:rsid w:val="009B7F76"/>
    <w:rsid w:val="009C0293"/>
    <w:rsid w:val="009C0744"/>
    <w:rsid w:val="009C0828"/>
    <w:rsid w:val="009C58BC"/>
    <w:rsid w:val="009C72A8"/>
    <w:rsid w:val="009D0564"/>
    <w:rsid w:val="009D1BC4"/>
    <w:rsid w:val="009D3358"/>
    <w:rsid w:val="009D40EE"/>
    <w:rsid w:val="009D4476"/>
    <w:rsid w:val="009D4BD0"/>
    <w:rsid w:val="009D5224"/>
    <w:rsid w:val="009D7D6D"/>
    <w:rsid w:val="009E252D"/>
    <w:rsid w:val="009E2728"/>
    <w:rsid w:val="009E2B08"/>
    <w:rsid w:val="009E3D50"/>
    <w:rsid w:val="009E4C9B"/>
    <w:rsid w:val="009E79F0"/>
    <w:rsid w:val="009F04AD"/>
    <w:rsid w:val="009F1969"/>
    <w:rsid w:val="009F287A"/>
    <w:rsid w:val="009F7A1B"/>
    <w:rsid w:val="009F7A83"/>
    <w:rsid w:val="00A00CCD"/>
    <w:rsid w:val="00A01046"/>
    <w:rsid w:val="00A018E2"/>
    <w:rsid w:val="00A01BF4"/>
    <w:rsid w:val="00A02064"/>
    <w:rsid w:val="00A02283"/>
    <w:rsid w:val="00A028A5"/>
    <w:rsid w:val="00A035F1"/>
    <w:rsid w:val="00A03961"/>
    <w:rsid w:val="00A055B8"/>
    <w:rsid w:val="00A056E3"/>
    <w:rsid w:val="00A06684"/>
    <w:rsid w:val="00A06A26"/>
    <w:rsid w:val="00A06CAC"/>
    <w:rsid w:val="00A06F41"/>
    <w:rsid w:val="00A06F46"/>
    <w:rsid w:val="00A0773C"/>
    <w:rsid w:val="00A201C8"/>
    <w:rsid w:val="00A22863"/>
    <w:rsid w:val="00A22B75"/>
    <w:rsid w:val="00A2351E"/>
    <w:rsid w:val="00A2371E"/>
    <w:rsid w:val="00A24347"/>
    <w:rsid w:val="00A25AFA"/>
    <w:rsid w:val="00A25ED1"/>
    <w:rsid w:val="00A26CBA"/>
    <w:rsid w:val="00A26E3F"/>
    <w:rsid w:val="00A31862"/>
    <w:rsid w:val="00A31869"/>
    <w:rsid w:val="00A33947"/>
    <w:rsid w:val="00A34171"/>
    <w:rsid w:val="00A345ED"/>
    <w:rsid w:val="00A353E9"/>
    <w:rsid w:val="00A35831"/>
    <w:rsid w:val="00A41819"/>
    <w:rsid w:val="00A41B0C"/>
    <w:rsid w:val="00A41D4E"/>
    <w:rsid w:val="00A43F44"/>
    <w:rsid w:val="00A45876"/>
    <w:rsid w:val="00A462E1"/>
    <w:rsid w:val="00A471EA"/>
    <w:rsid w:val="00A47D95"/>
    <w:rsid w:val="00A47E78"/>
    <w:rsid w:val="00A47EE4"/>
    <w:rsid w:val="00A50A2E"/>
    <w:rsid w:val="00A510C0"/>
    <w:rsid w:val="00A51AB9"/>
    <w:rsid w:val="00A5363C"/>
    <w:rsid w:val="00A53974"/>
    <w:rsid w:val="00A54AF7"/>
    <w:rsid w:val="00A563F6"/>
    <w:rsid w:val="00A567D8"/>
    <w:rsid w:val="00A575D3"/>
    <w:rsid w:val="00A57C5C"/>
    <w:rsid w:val="00A62FED"/>
    <w:rsid w:val="00A63795"/>
    <w:rsid w:val="00A637DD"/>
    <w:rsid w:val="00A66BBD"/>
    <w:rsid w:val="00A67260"/>
    <w:rsid w:val="00A67E5B"/>
    <w:rsid w:val="00A701B1"/>
    <w:rsid w:val="00A70572"/>
    <w:rsid w:val="00A70C54"/>
    <w:rsid w:val="00A714FD"/>
    <w:rsid w:val="00A72304"/>
    <w:rsid w:val="00A7291B"/>
    <w:rsid w:val="00A74806"/>
    <w:rsid w:val="00A75132"/>
    <w:rsid w:val="00A7582B"/>
    <w:rsid w:val="00A770F5"/>
    <w:rsid w:val="00A80BAE"/>
    <w:rsid w:val="00A81907"/>
    <w:rsid w:val="00A82014"/>
    <w:rsid w:val="00A8419E"/>
    <w:rsid w:val="00A856C3"/>
    <w:rsid w:val="00A85D83"/>
    <w:rsid w:val="00A8601C"/>
    <w:rsid w:val="00A86616"/>
    <w:rsid w:val="00A874D1"/>
    <w:rsid w:val="00A875FA"/>
    <w:rsid w:val="00A91155"/>
    <w:rsid w:val="00A92C6B"/>
    <w:rsid w:val="00A93FD0"/>
    <w:rsid w:val="00A95202"/>
    <w:rsid w:val="00A953DD"/>
    <w:rsid w:val="00A96A83"/>
    <w:rsid w:val="00A96FA4"/>
    <w:rsid w:val="00A97BFD"/>
    <w:rsid w:val="00AA0016"/>
    <w:rsid w:val="00AA055D"/>
    <w:rsid w:val="00AA1407"/>
    <w:rsid w:val="00AA3331"/>
    <w:rsid w:val="00AA3942"/>
    <w:rsid w:val="00AA39CB"/>
    <w:rsid w:val="00AA52E5"/>
    <w:rsid w:val="00AA5911"/>
    <w:rsid w:val="00AA7624"/>
    <w:rsid w:val="00AB19F8"/>
    <w:rsid w:val="00AB2298"/>
    <w:rsid w:val="00AB2841"/>
    <w:rsid w:val="00AB2EE2"/>
    <w:rsid w:val="00AB3FC4"/>
    <w:rsid w:val="00AB4626"/>
    <w:rsid w:val="00AC23B9"/>
    <w:rsid w:val="00AC25B4"/>
    <w:rsid w:val="00AC49AD"/>
    <w:rsid w:val="00AC5342"/>
    <w:rsid w:val="00AC55E3"/>
    <w:rsid w:val="00AC659A"/>
    <w:rsid w:val="00AD0287"/>
    <w:rsid w:val="00AD14B2"/>
    <w:rsid w:val="00AD3796"/>
    <w:rsid w:val="00AD3C4D"/>
    <w:rsid w:val="00AD4207"/>
    <w:rsid w:val="00AD5BDA"/>
    <w:rsid w:val="00AE0990"/>
    <w:rsid w:val="00AE12FE"/>
    <w:rsid w:val="00AE188F"/>
    <w:rsid w:val="00AE1A2E"/>
    <w:rsid w:val="00AE1F08"/>
    <w:rsid w:val="00AE2387"/>
    <w:rsid w:val="00AE2646"/>
    <w:rsid w:val="00AE2EC3"/>
    <w:rsid w:val="00AE4C42"/>
    <w:rsid w:val="00AE52AF"/>
    <w:rsid w:val="00AE53DA"/>
    <w:rsid w:val="00AE6334"/>
    <w:rsid w:val="00AE692E"/>
    <w:rsid w:val="00AE6BDB"/>
    <w:rsid w:val="00AF060B"/>
    <w:rsid w:val="00AF190F"/>
    <w:rsid w:val="00AF209C"/>
    <w:rsid w:val="00AF2210"/>
    <w:rsid w:val="00AF330A"/>
    <w:rsid w:val="00AF3F9D"/>
    <w:rsid w:val="00AF74AB"/>
    <w:rsid w:val="00AF7CB1"/>
    <w:rsid w:val="00B00B2C"/>
    <w:rsid w:val="00B02F51"/>
    <w:rsid w:val="00B0311C"/>
    <w:rsid w:val="00B03296"/>
    <w:rsid w:val="00B03B65"/>
    <w:rsid w:val="00B056AC"/>
    <w:rsid w:val="00B05D38"/>
    <w:rsid w:val="00B05D6A"/>
    <w:rsid w:val="00B06010"/>
    <w:rsid w:val="00B0715C"/>
    <w:rsid w:val="00B0741F"/>
    <w:rsid w:val="00B07ECB"/>
    <w:rsid w:val="00B10CF5"/>
    <w:rsid w:val="00B11AE4"/>
    <w:rsid w:val="00B1229D"/>
    <w:rsid w:val="00B13945"/>
    <w:rsid w:val="00B15735"/>
    <w:rsid w:val="00B16BF6"/>
    <w:rsid w:val="00B17BCA"/>
    <w:rsid w:val="00B22613"/>
    <w:rsid w:val="00B23EE6"/>
    <w:rsid w:val="00B248ED"/>
    <w:rsid w:val="00B2560F"/>
    <w:rsid w:val="00B256B5"/>
    <w:rsid w:val="00B26153"/>
    <w:rsid w:val="00B26358"/>
    <w:rsid w:val="00B30954"/>
    <w:rsid w:val="00B31125"/>
    <w:rsid w:val="00B318C2"/>
    <w:rsid w:val="00B32871"/>
    <w:rsid w:val="00B32A18"/>
    <w:rsid w:val="00B32AC6"/>
    <w:rsid w:val="00B32C4D"/>
    <w:rsid w:val="00B33D5B"/>
    <w:rsid w:val="00B34842"/>
    <w:rsid w:val="00B34DB2"/>
    <w:rsid w:val="00B35D03"/>
    <w:rsid w:val="00B3639D"/>
    <w:rsid w:val="00B36B49"/>
    <w:rsid w:val="00B41D07"/>
    <w:rsid w:val="00B430F7"/>
    <w:rsid w:val="00B43110"/>
    <w:rsid w:val="00B4317D"/>
    <w:rsid w:val="00B436A2"/>
    <w:rsid w:val="00B43B92"/>
    <w:rsid w:val="00B44EF8"/>
    <w:rsid w:val="00B4502C"/>
    <w:rsid w:val="00B4639C"/>
    <w:rsid w:val="00B46609"/>
    <w:rsid w:val="00B46C58"/>
    <w:rsid w:val="00B473A7"/>
    <w:rsid w:val="00B4759A"/>
    <w:rsid w:val="00B503CE"/>
    <w:rsid w:val="00B52CF1"/>
    <w:rsid w:val="00B52DA9"/>
    <w:rsid w:val="00B53862"/>
    <w:rsid w:val="00B53CAE"/>
    <w:rsid w:val="00B558DB"/>
    <w:rsid w:val="00B56E00"/>
    <w:rsid w:val="00B57122"/>
    <w:rsid w:val="00B576D9"/>
    <w:rsid w:val="00B60BAD"/>
    <w:rsid w:val="00B60CE1"/>
    <w:rsid w:val="00B60F5D"/>
    <w:rsid w:val="00B61906"/>
    <w:rsid w:val="00B619E4"/>
    <w:rsid w:val="00B62DA0"/>
    <w:rsid w:val="00B6393F"/>
    <w:rsid w:val="00B64272"/>
    <w:rsid w:val="00B64531"/>
    <w:rsid w:val="00B645B5"/>
    <w:rsid w:val="00B64BF5"/>
    <w:rsid w:val="00B65ABB"/>
    <w:rsid w:val="00B6604B"/>
    <w:rsid w:val="00B7183F"/>
    <w:rsid w:val="00B72812"/>
    <w:rsid w:val="00B72BDD"/>
    <w:rsid w:val="00B73A94"/>
    <w:rsid w:val="00B742B0"/>
    <w:rsid w:val="00B74A52"/>
    <w:rsid w:val="00B74AE4"/>
    <w:rsid w:val="00B74D4F"/>
    <w:rsid w:val="00B7544D"/>
    <w:rsid w:val="00B76F76"/>
    <w:rsid w:val="00B77485"/>
    <w:rsid w:val="00B7787C"/>
    <w:rsid w:val="00B8155C"/>
    <w:rsid w:val="00B83532"/>
    <w:rsid w:val="00B85C81"/>
    <w:rsid w:val="00B86319"/>
    <w:rsid w:val="00B86634"/>
    <w:rsid w:val="00B86D50"/>
    <w:rsid w:val="00B9162E"/>
    <w:rsid w:val="00B918C6"/>
    <w:rsid w:val="00B91B2F"/>
    <w:rsid w:val="00B930CD"/>
    <w:rsid w:val="00B932A7"/>
    <w:rsid w:val="00B935AF"/>
    <w:rsid w:val="00B94433"/>
    <w:rsid w:val="00B95BAE"/>
    <w:rsid w:val="00B96139"/>
    <w:rsid w:val="00BA04B2"/>
    <w:rsid w:val="00BA0A54"/>
    <w:rsid w:val="00BA19C7"/>
    <w:rsid w:val="00BA3D94"/>
    <w:rsid w:val="00BA4474"/>
    <w:rsid w:val="00BB3138"/>
    <w:rsid w:val="00BB385B"/>
    <w:rsid w:val="00BB5C8B"/>
    <w:rsid w:val="00BB73BD"/>
    <w:rsid w:val="00BC032D"/>
    <w:rsid w:val="00BC12AE"/>
    <w:rsid w:val="00BC2E00"/>
    <w:rsid w:val="00BC2F09"/>
    <w:rsid w:val="00BC5376"/>
    <w:rsid w:val="00BC67B9"/>
    <w:rsid w:val="00BC7952"/>
    <w:rsid w:val="00BD0890"/>
    <w:rsid w:val="00BD0EB4"/>
    <w:rsid w:val="00BD0FC1"/>
    <w:rsid w:val="00BD1030"/>
    <w:rsid w:val="00BD2388"/>
    <w:rsid w:val="00BD2693"/>
    <w:rsid w:val="00BD4BB6"/>
    <w:rsid w:val="00BD53E1"/>
    <w:rsid w:val="00BD5E34"/>
    <w:rsid w:val="00BD7FF5"/>
    <w:rsid w:val="00BE05A5"/>
    <w:rsid w:val="00BE0EBD"/>
    <w:rsid w:val="00BE1584"/>
    <w:rsid w:val="00BE1962"/>
    <w:rsid w:val="00BE1B22"/>
    <w:rsid w:val="00BE5942"/>
    <w:rsid w:val="00BE71EE"/>
    <w:rsid w:val="00BF4E96"/>
    <w:rsid w:val="00BF6A07"/>
    <w:rsid w:val="00C00CE0"/>
    <w:rsid w:val="00C021D7"/>
    <w:rsid w:val="00C06703"/>
    <w:rsid w:val="00C07327"/>
    <w:rsid w:val="00C07CD8"/>
    <w:rsid w:val="00C11B27"/>
    <w:rsid w:val="00C1210B"/>
    <w:rsid w:val="00C12254"/>
    <w:rsid w:val="00C1252C"/>
    <w:rsid w:val="00C12769"/>
    <w:rsid w:val="00C13257"/>
    <w:rsid w:val="00C145E4"/>
    <w:rsid w:val="00C14A8B"/>
    <w:rsid w:val="00C14BFB"/>
    <w:rsid w:val="00C15F78"/>
    <w:rsid w:val="00C167D5"/>
    <w:rsid w:val="00C16A60"/>
    <w:rsid w:val="00C17444"/>
    <w:rsid w:val="00C17586"/>
    <w:rsid w:val="00C175D3"/>
    <w:rsid w:val="00C1794A"/>
    <w:rsid w:val="00C20EF3"/>
    <w:rsid w:val="00C210F3"/>
    <w:rsid w:val="00C22048"/>
    <w:rsid w:val="00C22070"/>
    <w:rsid w:val="00C22097"/>
    <w:rsid w:val="00C22962"/>
    <w:rsid w:val="00C22BAC"/>
    <w:rsid w:val="00C25152"/>
    <w:rsid w:val="00C255D2"/>
    <w:rsid w:val="00C2672F"/>
    <w:rsid w:val="00C26A01"/>
    <w:rsid w:val="00C31626"/>
    <w:rsid w:val="00C31E1B"/>
    <w:rsid w:val="00C333F7"/>
    <w:rsid w:val="00C34481"/>
    <w:rsid w:val="00C37393"/>
    <w:rsid w:val="00C37DE5"/>
    <w:rsid w:val="00C41621"/>
    <w:rsid w:val="00C42310"/>
    <w:rsid w:val="00C424EA"/>
    <w:rsid w:val="00C427DF"/>
    <w:rsid w:val="00C427E0"/>
    <w:rsid w:val="00C42B3C"/>
    <w:rsid w:val="00C4399A"/>
    <w:rsid w:val="00C442BE"/>
    <w:rsid w:val="00C45D7F"/>
    <w:rsid w:val="00C45E2B"/>
    <w:rsid w:val="00C5099C"/>
    <w:rsid w:val="00C5167B"/>
    <w:rsid w:val="00C52E3B"/>
    <w:rsid w:val="00C54F6A"/>
    <w:rsid w:val="00C57E5B"/>
    <w:rsid w:val="00C604CB"/>
    <w:rsid w:val="00C63A0D"/>
    <w:rsid w:val="00C63E04"/>
    <w:rsid w:val="00C64670"/>
    <w:rsid w:val="00C65B76"/>
    <w:rsid w:val="00C65F60"/>
    <w:rsid w:val="00C668EB"/>
    <w:rsid w:val="00C71222"/>
    <w:rsid w:val="00C71A15"/>
    <w:rsid w:val="00C71F26"/>
    <w:rsid w:val="00C73454"/>
    <w:rsid w:val="00C73925"/>
    <w:rsid w:val="00C74241"/>
    <w:rsid w:val="00C74C65"/>
    <w:rsid w:val="00C76AA4"/>
    <w:rsid w:val="00C82816"/>
    <w:rsid w:val="00C82E16"/>
    <w:rsid w:val="00C83128"/>
    <w:rsid w:val="00C834F9"/>
    <w:rsid w:val="00C83DCC"/>
    <w:rsid w:val="00C843AC"/>
    <w:rsid w:val="00C84540"/>
    <w:rsid w:val="00C852EB"/>
    <w:rsid w:val="00C85531"/>
    <w:rsid w:val="00C8642A"/>
    <w:rsid w:val="00C8748C"/>
    <w:rsid w:val="00C9104E"/>
    <w:rsid w:val="00C918A8"/>
    <w:rsid w:val="00C91E59"/>
    <w:rsid w:val="00C91EE3"/>
    <w:rsid w:val="00C91F21"/>
    <w:rsid w:val="00C92AE1"/>
    <w:rsid w:val="00C939D8"/>
    <w:rsid w:val="00C95624"/>
    <w:rsid w:val="00C95B42"/>
    <w:rsid w:val="00C96C52"/>
    <w:rsid w:val="00CA0164"/>
    <w:rsid w:val="00CA2014"/>
    <w:rsid w:val="00CA32AE"/>
    <w:rsid w:val="00CA3F12"/>
    <w:rsid w:val="00CA4BC8"/>
    <w:rsid w:val="00CA4E1A"/>
    <w:rsid w:val="00CA5A78"/>
    <w:rsid w:val="00CA5C99"/>
    <w:rsid w:val="00CA621B"/>
    <w:rsid w:val="00CA65AC"/>
    <w:rsid w:val="00CA726B"/>
    <w:rsid w:val="00CB17DD"/>
    <w:rsid w:val="00CB65FF"/>
    <w:rsid w:val="00CC1A91"/>
    <w:rsid w:val="00CC1C9A"/>
    <w:rsid w:val="00CC1EEE"/>
    <w:rsid w:val="00CC3414"/>
    <w:rsid w:val="00CC3B54"/>
    <w:rsid w:val="00CC56D7"/>
    <w:rsid w:val="00CC797E"/>
    <w:rsid w:val="00CC7CD3"/>
    <w:rsid w:val="00CD04F0"/>
    <w:rsid w:val="00CD1D14"/>
    <w:rsid w:val="00CD2979"/>
    <w:rsid w:val="00CD2F4C"/>
    <w:rsid w:val="00CD407B"/>
    <w:rsid w:val="00CD4129"/>
    <w:rsid w:val="00CD4586"/>
    <w:rsid w:val="00CD6174"/>
    <w:rsid w:val="00CD6F45"/>
    <w:rsid w:val="00CD7008"/>
    <w:rsid w:val="00CE3BCE"/>
    <w:rsid w:val="00CE3E22"/>
    <w:rsid w:val="00CE5C9C"/>
    <w:rsid w:val="00CE6707"/>
    <w:rsid w:val="00CF0015"/>
    <w:rsid w:val="00CF0AD2"/>
    <w:rsid w:val="00CF2559"/>
    <w:rsid w:val="00CF2A64"/>
    <w:rsid w:val="00CF2B23"/>
    <w:rsid w:val="00CF30C0"/>
    <w:rsid w:val="00CF386D"/>
    <w:rsid w:val="00CF5748"/>
    <w:rsid w:val="00CF6255"/>
    <w:rsid w:val="00CF7A4C"/>
    <w:rsid w:val="00CF7C9A"/>
    <w:rsid w:val="00D00D4A"/>
    <w:rsid w:val="00D01324"/>
    <w:rsid w:val="00D01632"/>
    <w:rsid w:val="00D024D9"/>
    <w:rsid w:val="00D0311C"/>
    <w:rsid w:val="00D045E4"/>
    <w:rsid w:val="00D04F27"/>
    <w:rsid w:val="00D0585C"/>
    <w:rsid w:val="00D06C08"/>
    <w:rsid w:val="00D1043D"/>
    <w:rsid w:val="00D10B90"/>
    <w:rsid w:val="00D119C3"/>
    <w:rsid w:val="00D12F9E"/>
    <w:rsid w:val="00D14C20"/>
    <w:rsid w:val="00D16610"/>
    <w:rsid w:val="00D17062"/>
    <w:rsid w:val="00D20C3F"/>
    <w:rsid w:val="00D21BE3"/>
    <w:rsid w:val="00D21DC4"/>
    <w:rsid w:val="00D22B90"/>
    <w:rsid w:val="00D2523C"/>
    <w:rsid w:val="00D25CDB"/>
    <w:rsid w:val="00D260D1"/>
    <w:rsid w:val="00D27326"/>
    <w:rsid w:val="00D27597"/>
    <w:rsid w:val="00D27822"/>
    <w:rsid w:val="00D301D8"/>
    <w:rsid w:val="00D31188"/>
    <w:rsid w:val="00D352F4"/>
    <w:rsid w:val="00D364B5"/>
    <w:rsid w:val="00D36B9B"/>
    <w:rsid w:val="00D37213"/>
    <w:rsid w:val="00D4187B"/>
    <w:rsid w:val="00D424D3"/>
    <w:rsid w:val="00D42903"/>
    <w:rsid w:val="00D42A0A"/>
    <w:rsid w:val="00D43460"/>
    <w:rsid w:val="00D43B42"/>
    <w:rsid w:val="00D44773"/>
    <w:rsid w:val="00D4594E"/>
    <w:rsid w:val="00D46840"/>
    <w:rsid w:val="00D47DF3"/>
    <w:rsid w:val="00D47F2E"/>
    <w:rsid w:val="00D50250"/>
    <w:rsid w:val="00D5066A"/>
    <w:rsid w:val="00D508D7"/>
    <w:rsid w:val="00D5340E"/>
    <w:rsid w:val="00D53A87"/>
    <w:rsid w:val="00D554C1"/>
    <w:rsid w:val="00D5569A"/>
    <w:rsid w:val="00D55EED"/>
    <w:rsid w:val="00D57116"/>
    <w:rsid w:val="00D575CA"/>
    <w:rsid w:val="00D60658"/>
    <w:rsid w:val="00D61BA8"/>
    <w:rsid w:val="00D63C1E"/>
    <w:rsid w:val="00D64AB3"/>
    <w:rsid w:val="00D65324"/>
    <w:rsid w:val="00D65CBF"/>
    <w:rsid w:val="00D66A7D"/>
    <w:rsid w:val="00D66FB8"/>
    <w:rsid w:val="00D67FCF"/>
    <w:rsid w:val="00D713C3"/>
    <w:rsid w:val="00D71E67"/>
    <w:rsid w:val="00D72569"/>
    <w:rsid w:val="00D740F6"/>
    <w:rsid w:val="00D745F5"/>
    <w:rsid w:val="00D74C26"/>
    <w:rsid w:val="00D77712"/>
    <w:rsid w:val="00D77826"/>
    <w:rsid w:val="00D77C93"/>
    <w:rsid w:val="00D82306"/>
    <w:rsid w:val="00D825E7"/>
    <w:rsid w:val="00D827A5"/>
    <w:rsid w:val="00D846D0"/>
    <w:rsid w:val="00D85587"/>
    <w:rsid w:val="00D85C8C"/>
    <w:rsid w:val="00D86A07"/>
    <w:rsid w:val="00D871BD"/>
    <w:rsid w:val="00D87303"/>
    <w:rsid w:val="00D90007"/>
    <w:rsid w:val="00D9209E"/>
    <w:rsid w:val="00D9220F"/>
    <w:rsid w:val="00D92EC2"/>
    <w:rsid w:val="00D933FC"/>
    <w:rsid w:val="00D93A17"/>
    <w:rsid w:val="00D93D9E"/>
    <w:rsid w:val="00D94408"/>
    <w:rsid w:val="00D94CE5"/>
    <w:rsid w:val="00D94F09"/>
    <w:rsid w:val="00D952F9"/>
    <w:rsid w:val="00D97575"/>
    <w:rsid w:val="00D97889"/>
    <w:rsid w:val="00D9788A"/>
    <w:rsid w:val="00D97AD8"/>
    <w:rsid w:val="00D97FED"/>
    <w:rsid w:val="00DA12FF"/>
    <w:rsid w:val="00DA2329"/>
    <w:rsid w:val="00DA2628"/>
    <w:rsid w:val="00DA2D5A"/>
    <w:rsid w:val="00DA2DD2"/>
    <w:rsid w:val="00DA2F82"/>
    <w:rsid w:val="00DA349C"/>
    <w:rsid w:val="00DA34DF"/>
    <w:rsid w:val="00DA44DB"/>
    <w:rsid w:val="00DA4A7E"/>
    <w:rsid w:val="00DA5743"/>
    <w:rsid w:val="00DA7496"/>
    <w:rsid w:val="00DB04B3"/>
    <w:rsid w:val="00DB15DC"/>
    <w:rsid w:val="00DB2DDF"/>
    <w:rsid w:val="00DB3994"/>
    <w:rsid w:val="00DB5508"/>
    <w:rsid w:val="00DB5FD2"/>
    <w:rsid w:val="00DB6C26"/>
    <w:rsid w:val="00DC0CCA"/>
    <w:rsid w:val="00DC3233"/>
    <w:rsid w:val="00DC3412"/>
    <w:rsid w:val="00DC3702"/>
    <w:rsid w:val="00DC37D9"/>
    <w:rsid w:val="00DC3DFA"/>
    <w:rsid w:val="00DC4071"/>
    <w:rsid w:val="00DC51F7"/>
    <w:rsid w:val="00DC561C"/>
    <w:rsid w:val="00DC5C71"/>
    <w:rsid w:val="00DC70BC"/>
    <w:rsid w:val="00DC7279"/>
    <w:rsid w:val="00DC7FBB"/>
    <w:rsid w:val="00DD00FE"/>
    <w:rsid w:val="00DD0451"/>
    <w:rsid w:val="00DD0468"/>
    <w:rsid w:val="00DD10E5"/>
    <w:rsid w:val="00DD1988"/>
    <w:rsid w:val="00DD2491"/>
    <w:rsid w:val="00DD2E03"/>
    <w:rsid w:val="00DD3240"/>
    <w:rsid w:val="00DD3277"/>
    <w:rsid w:val="00DD35D6"/>
    <w:rsid w:val="00DD36CD"/>
    <w:rsid w:val="00DD4888"/>
    <w:rsid w:val="00DD615C"/>
    <w:rsid w:val="00DD6445"/>
    <w:rsid w:val="00DD6BC9"/>
    <w:rsid w:val="00DE0A2C"/>
    <w:rsid w:val="00DE10C1"/>
    <w:rsid w:val="00DE1678"/>
    <w:rsid w:val="00DE2CA9"/>
    <w:rsid w:val="00DE5A28"/>
    <w:rsid w:val="00DE66D3"/>
    <w:rsid w:val="00DE6FF1"/>
    <w:rsid w:val="00DE7A41"/>
    <w:rsid w:val="00DF0CC4"/>
    <w:rsid w:val="00DF11BE"/>
    <w:rsid w:val="00DF1440"/>
    <w:rsid w:val="00DF17B5"/>
    <w:rsid w:val="00DF270B"/>
    <w:rsid w:val="00DF36AC"/>
    <w:rsid w:val="00DF52FD"/>
    <w:rsid w:val="00DF61B4"/>
    <w:rsid w:val="00DF637D"/>
    <w:rsid w:val="00DF6D64"/>
    <w:rsid w:val="00DF73F4"/>
    <w:rsid w:val="00E00117"/>
    <w:rsid w:val="00E00A43"/>
    <w:rsid w:val="00E01B16"/>
    <w:rsid w:val="00E03004"/>
    <w:rsid w:val="00E03DE2"/>
    <w:rsid w:val="00E041E4"/>
    <w:rsid w:val="00E04954"/>
    <w:rsid w:val="00E04EC4"/>
    <w:rsid w:val="00E051A8"/>
    <w:rsid w:val="00E055A6"/>
    <w:rsid w:val="00E06468"/>
    <w:rsid w:val="00E1041F"/>
    <w:rsid w:val="00E12857"/>
    <w:rsid w:val="00E12CC9"/>
    <w:rsid w:val="00E12D70"/>
    <w:rsid w:val="00E17AAB"/>
    <w:rsid w:val="00E204EE"/>
    <w:rsid w:val="00E20512"/>
    <w:rsid w:val="00E21B14"/>
    <w:rsid w:val="00E21D57"/>
    <w:rsid w:val="00E22DC8"/>
    <w:rsid w:val="00E24CFB"/>
    <w:rsid w:val="00E25295"/>
    <w:rsid w:val="00E26207"/>
    <w:rsid w:val="00E2631D"/>
    <w:rsid w:val="00E265EE"/>
    <w:rsid w:val="00E26E2E"/>
    <w:rsid w:val="00E30496"/>
    <w:rsid w:val="00E325B6"/>
    <w:rsid w:val="00E33AA2"/>
    <w:rsid w:val="00E341C7"/>
    <w:rsid w:val="00E3431A"/>
    <w:rsid w:val="00E35F49"/>
    <w:rsid w:val="00E363E6"/>
    <w:rsid w:val="00E36810"/>
    <w:rsid w:val="00E37CCD"/>
    <w:rsid w:val="00E37CD1"/>
    <w:rsid w:val="00E4000C"/>
    <w:rsid w:val="00E4058E"/>
    <w:rsid w:val="00E4069D"/>
    <w:rsid w:val="00E42340"/>
    <w:rsid w:val="00E429EE"/>
    <w:rsid w:val="00E433D4"/>
    <w:rsid w:val="00E4392A"/>
    <w:rsid w:val="00E44BB2"/>
    <w:rsid w:val="00E44BB9"/>
    <w:rsid w:val="00E45FEF"/>
    <w:rsid w:val="00E46B6B"/>
    <w:rsid w:val="00E52190"/>
    <w:rsid w:val="00E545F2"/>
    <w:rsid w:val="00E54AEE"/>
    <w:rsid w:val="00E55C5B"/>
    <w:rsid w:val="00E56A1B"/>
    <w:rsid w:val="00E56DA0"/>
    <w:rsid w:val="00E63BC3"/>
    <w:rsid w:val="00E63CC3"/>
    <w:rsid w:val="00E63DE2"/>
    <w:rsid w:val="00E64473"/>
    <w:rsid w:val="00E6461C"/>
    <w:rsid w:val="00E66682"/>
    <w:rsid w:val="00E66E08"/>
    <w:rsid w:val="00E70FCC"/>
    <w:rsid w:val="00E71B0E"/>
    <w:rsid w:val="00E71CF3"/>
    <w:rsid w:val="00E72265"/>
    <w:rsid w:val="00E72BB5"/>
    <w:rsid w:val="00E72C93"/>
    <w:rsid w:val="00E73C65"/>
    <w:rsid w:val="00E75EEF"/>
    <w:rsid w:val="00E7746F"/>
    <w:rsid w:val="00E774B5"/>
    <w:rsid w:val="00E80FB2"/>
    <w:rsid w:val="00E812CC"/>
    <w:rsid w:val="00E8148C"/>
    <w:rsid w:val="00E8222F"/>
    <w:rsid w:val="00E82650"/>
    <w:rsid w:val="00E8292C"/>
    <w:rsid w:val="00E831F3"/>
    <w:rsid w:val="00E835B4"/>
    <w:rsid w:val="00E8363C"/>
    <w:rsid w:val="00E83B24"/>
    <w:rsid w:val="00E843E4"/>
    <w:rsid w:val="00E8471F"/>
    <w:rsid w:val="00E8514D"/>
    <w:rsid w:val="00E85AD4"/>
    <w:rsid w:val="00E90C2B"/>
    <w:rsid w:val="00E91BE7"/>
    <w:rsid w:val="00E91F09"/>
    <w:rsid w:val="00E92330"/>
    <w:rsid w:val="00E927FC"/>
    <w:rsid w:val="00E9445B"/>
    <w:rsid w:val="00E94E1B"/>
    <w:rsid w:val="00E95F6D"/>
    <w:rsid w:val="00E96696"/>
    <w:rsid w:val="00E96984"/>
    <w:rsid w:val="00E96AF7"/>
    <w:rsid w:val="00EA01FA"/>
    <w:rsid w:val="00EA186D"/>
    <w:rsid w:val="00EA1F1A"/>
    <w:rsid w:val="00EA3829"/>
    <w:rsid w:val="00EA536A"/>
    <w:rsid w:val="00EA5D5A"/>
    <w:rsid w:val="00EA5E41"/>
    <w:rsid w:val="00EA73AE"/>
    <w:rsid w:val="00EB0708"/>
    <w:rsid w:val="00EB206C"/>
    <w:rsid w:val="00EB21B4"/>
    <w:rsid w:val="00EB39AC"/>
    <w:rsid w:val="00EB4632"/>
    <w:rsid w:val="00EB4782"/>
    <w:rsid w:val="00EB57C1"/>
    <w:rsid w:val="00EB5B7F"/>
    <w:rsid w:val="00EB5E80"/>
    <w:rsid w:val="00EB66C3"/>
    <w:rsid w:val="00EB6CD4"/>
    <w:rsid w:val="00EC09AC"/>
    <w:rsid w:val="00EC1320"/>
    <w:rsid w:val="00EC14BF"/>
    <w:rsid w:val="00EC18C3"/>
    <w:rsid w:val="00EC2076"/>
    <w:rsid w:val="00EC32B9"/>
    <w:rsid w:val="00EC5298"/>
    <w:rsid w:val="00EC68BB"/>
    <w:rsid w:val="00ED5843"/>
    <w:rsid w:val="00ED726C"/>
    <w:rsid w:val="00EE1D6D"/>
    <w:rsid w:val="00EE28CE"/>
    <w:rsid w:val="00EE2D82"/>
    <w:rsid w:val="00EE3035"/>
    <w:rsid w:val="00EE31D2"/>
    <w:rsid w:val="00EE35DB"/>
    <w:rsid w:val="00EE3BED"/>
    <w:rsid w:val="00EE3C33"/>
    <w:rsid w:val="00EE3CB8"/>
    <w:rsid w:val="00EE4F37"/>
    <w:rsid w:val="00EE5466"/>
    <w:rsid w:val="00EE617F"/>
    <w:rsid w:val="00EE6258"/>
    <w:rsid w:val="00EF19CA"/>
    <w:rsid w:val="00EF28D6"/>
    <w:rsid w:val="00EF2D7E"/>
    <w:rsid w:val="00EF32D1"/>
    <w:rsid w:val="00EF36C4"/>
    <w:rsid w:val="00EF3BEE"/>
    <w:rsid w:val="00EF4501"/>
    <w:rsid w:val="00EF51A6"/>
    <w:rsid w:val="00EF5231"/>
    <w:rsid w:val="00EF5E3E"/>
    <w:rsid w:val="00EF740E"/>
    <w:rsid w:val="00F037F5"/>
    <w:rsid w:val="00F04DCF"/>
    <w:rsid w:val="00F04F9A"/>
    <w:rsid w:val="00F06EA2"/>
    <w:rsid w:val="00F10C10"/>
    <w:rsid w:val="00F149DA"/>
    <w:rsid w:val="00F14B50"/>
    <w:rsid w:val="00F158F4"/>
    <w:rsid w:val="00F15F99"/>
    <w:rsid w:val="00F16A94"/>
    <w:rsid w:val="00F1700F"/>
    <w:rsid w:val="00F174AB"/>
    <w:rsid w:val="00F2199B"/>
    <w:rsid w:val="00F23093"/>
    <w:rsid w:val="00F236EF"/>
    <w:rsid w:val="00F25565"/>
    <w:rsid w:val="00F25B47"/>
    <w:rsid w:val="00F27557"/>
    <w:rsid w:val="00F30444"/>
    <w:rsid w:val="00F31B92"/>
    <w:rsid w:val="00F31E9B"/>
    <w:rsid w:val="00F3347D"/>
    <w:rsid w:val="00F34B8B"/>
    <w:rsid w:val="00F3506F"/>
    <w:rsid w:val="00F35FAE"/>
    <w:rsid w:val="00F361BB"/>
    <w:rsid w:val="00F37838"/>
    <w:rsid w:val="00F4136D"/>
    <w:rsid w:val="00F428A4"/>
    <w:rsid w:val="00F42BEC"/>
    <w:rsid w:val="00F45983"/>
    <w:rsid w:val="00F45CFD"/>
    <w:rsid w:val="00F46145"/>
    <w:rsid w:val="00F4623F"/>
    <w:rsid w:val="00F46904"/>
    <w:rsid w:val="00F50672"/>
    <w:rsid w:val="00F52E2B"/>
    <w:rsid w:val="00F5312D"/>
    <w:rsid w:val="00F5384B"/>
    <w:rsid w:val="00F55627"/>
    <w:rsid w:val="00F56EB8"/>
    <w:rsid w:val="00F57AE6"/>
    <w:rsid w:val="00F6065D"/>
    <w:rsid w:val="00F62FD0"/>
    <w:rsid w:val="00F63B6A"/>
    <w:rsid w:val="00F6493F"/>
    <w:rsid w:val="00F66664"/>
    <w:rsid w:val="00F669C5"/>
    <w:rsid w:val="00F66D25"/>
    <w:rsid w:val="00F67AEA"/>
    <w:rsid w:val="00F708DA"/>
    <w:rsid w:val="00F720AE"/>
    <w:rsid w:val="00F7324D"/>
    <w:rsid w:val="00F7332C"/>
    <w:rsid w:val="00F737CB"/>
    <w:rsid w:val="00F73A60"/>
    <w:rsid w:val="00F73E22"/>
    <w:rsid w:val="00F73EDA"/>
    <w:rsid w:val="00F740DD"/>
    <w:rsid w:val="00F74F75"/>
    <w:rsid w:val="00F77C33"/>
    <w:rsid w:val="00F8037C"/>
    <w:rsid w:val="00F808DA"/>
    <w:rsid w:val="00F82E3A"/>
    <w:rsid w:val="00F83BB4"/>
    <w:rsid w:val="00F84FF8"/>
    <w:rsid w:val="00F8517D"/>
    <w:rsid w:val="00F86EE6"/>
    <w:rsid w:val="00F90665"/>
    <w:rsid w:val="00F9121F"/>
    <w:rsid w:val="00F9169E"/>
    <w:rsid w:val="00F91B54"/>
    <w:rsid w:val="00F9281F"/>
    <w:rsid w:val="00F92A0D"/>
    <w:rsid w:val="00F945EB"/>
    <w:rsid w:val="00F94D68"/>
    <w:rsid w:val="00F95B74"/>
    <w:rsid w:val="00F96425"/>
    <w:rsid w:val="00F9741C"/>
    <w:rsid w:val="00FA0F2C"/>
    <w:rsid w:val="00FA17D8"/>
    <w:rsid w:val="00FA2E6B"/>
    <w:rsid w:val="00FA4B8F"/>
    <w:rsid w:val="00FA5A88"/>
    <w:rsid w:val="00FA6051"/>
    <w:rsid w:val="00FA66ED"/>
    <w:rsid w:val="00FA6D65"/>
    <w:rsid w:val="00FB0EAC"/>
    <w:rsid w:val="00FB100C"/>
    <w:rsid w:val="00FB1590"/>
    <w:rsid w:val="00FB171C"/>
    <w:rsid w:val="00FB192A"/>
    <w:rsid w:val="00FB1A4E"/>
    <w:rsid w:val="00FB29AE"/>
    <w:rsid w:val="00FB3EBD"/>
    <w:rsid w:val="00FB5C48"/>
    <w:rsid w:val="00FB615F"/>
    <w:rsid w:val="00FB76E9"/>
    <w:rsid w:val="00FC0A6B"/>
    <w:rsid w:val="00FC12B9"/>
    <w:rsid w:val="00FC1FAB"/>
    <w:rsid w:val="00FC1FAC"/>
    <w:rsid w:val="00FC2065"/>
    <w:rsid w:val="00FC2498"/>
    <w:rsid w:val="00FC26CC"/>
    <w:rsid w:val="00FC6563"/>
    <w:rsid w:val="00FC726E"/>
    <w:rsid w:val="00FD002F"/>
    <w:rsid w:val="00FD06FE"/>
    <w:rsid w:val="00FD0D2B"/>
    <w:rsid w:val="00FD16E2"/>
    <w:rsid w:val="00FD17B6"/>
    <w:rsid w:val="00FD1A2F"/>
    <w:rsid w:val="00FD1FFE"/>
    <w:rsid w:val="00FD23F4"/>
    <w:rsid w:val="00FD25D7"/>
    <w:rsid w:val="00FD3EF1"/>
    <w:rsid w:val="00FD4531"/>
    <w:rsid w:val="00FD6658"/>
    <w:rsid w:val="00FD66DC"/>
    <w:rsid w:val="00FE1047"/>
    <w:rsid w:val="00FE2E17"/>
    <w:rsid w:val="00FE4DC1"/>
    <w:rsid w:val="00FE5477"/>
    <w:rsid w:val="00FE746C"/>
    <w:rsid w:val="00FE7691"/>
    <w:rsid w:val="00FF0869"/>
    <w:rsid w:val="00FF0D51"/>
    <w:rsid w:val="00FF2532"/>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D3F25"/>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character" w:customStyle="1" w:styleId="NichtaufgelsteErwhnung1">
    <w:name w:val="Nicht aufgelöste Erwähnung1"/>
    <w:basedOn w:val="Absatz-Standardschriftart"/>
    <w:uiPriority w:val="99"/>
    <w:semiHidden/>
    <w:unhideWhenUsed/>
    <w:rsid w:val="004C4ACF"/>
    <w:rPr>
      <w:color w:val="605E5C"/>
      <w:shd w:val="clear" w:color="auto" w:fill="E1DFDD"/>
    </w:rPr>
  </w:style>
  <w:style w:type="paragraph" w:styleId="berarbeitung">
    <w:name w:val="Revision"/>
    <w:hidden/>
    <w:uiPriority w:val="99"/>
    <w:semiHidden/>
    <w:rsid w:val="00B4502C"/>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5d7bbee-212f-42f3-bc38-a46983e575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13F437853EFC4EB0497BD753016819" ma:contentTypeVersion="15" ma:contentTypeDescription="Create a new document." ma:contentTypeScope="" ma:versionID="09e3805961bdbb42dd25eab21cab9278">
  <xsd:schema xmlns:xsd="http://www.w3.org/2001/XMLSchema" xmlns:xs="http://www.w3.org/2001/XMLSchema" xmlns:p="http://schemas.microsoft.com/office/2006/metadata/properties" xmlns:ns3="85d7bbee-212f-42f3-bc38-a46983e57552" xmlns:ns4="35837b63-5559-4a02-aebb-6e054cabd880" targetNamespace="http://schemas.microsoft.com/office/2006/metadata/properties" ma:root="true" ma:fieldsID="073b874632e89083eabe9c4cc6196389" ns3:_="" ns4:_="">
    <xsd:import namespace="85d7bbee-212f-42f3-bc38-a46983e57552"/>
    <xsd:import namespace="35837b63-5559-4a02-aebb-6e054cabd8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7bbee-212f-42f3-bc38-a46983e57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837b63-5559-4a02-aebb-6e054cabd8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A6313-7D01-451B-97E9-C8D6C44749E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5d7bbee-212f-42f3-bc38-a46983e57552"/>
    <ds:schemaRef ds:uri="35837b63-5559-4a02-aebb-6e054cabd880"/>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8B23485-1C22-4CB9-8EB2-10E5D3D81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7bbee-212f-42f3-bc38-a46983e57552"/>
    <ds:schemaRef ds:uri="35837b63-5559-4a02-aebb-6e054cabd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4.xml><?xml version="1.0" encoding="utf-8"?>
<ds:datastoreItem xmlns:ds="http://schemas.openxmlformats.org/officeDocument/2006/customXml" ds:itemID="{CAE85788-4F04-4C4F-8861-2F7B7C3BB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4366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Análisis inteligente de datos: la nueva aplicación web de TGW ayuda en la optimización</vt:lpstr>
    </vt:vector>
  </TitlesOfParts>
  <Company>Klug</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Análisis inteligente de datos: la nueva aplicación web de TGW ayuda en la optimización</dc:title>
  <dc:subject/>
  <dc:creator>Tahedl Alexander</dc:creator>
  <cp:keywords>Análisis inteligente de datos: la nueva aplicación web de TGW ayuda en la optimización</cp:keywords>
  <dc:description/>
  <cp:lastModifiedBy>Tahedl Alexander</cp:lastModifiedBy>
  <cp:revision>85</cp:revision>
  <cp:lastPrinted>2022-12-07T09:46:00Z</cp:lastPrinted>
  <dcterms:created xsi:type="dcterms:W3CDTF">2022-12-13T09:10:00Z</dcterms:created>
  <dcterms:modified xsi:type="dcterms:W3CDTF">2023-03-17T12:34:00Z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0x010100F213F437853EFC4EB0497BD753016819</vt:lpwstr>
  </property>
</Properties>
</file>