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CE" w:rsidRPr="00AC66E9" w:rsidRDefault="004A2262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TGW c</w:t>
      </w:r>
      <w:r w:rsidR="00547B31">
        <w:rPr>
          <w:rFonts w:cs="Arial"/>
          <w:b/>
          <w:sz w:val="28"/>
          <w:szCs w:val="28"/>
          <w:lang w:val="es-ES"/>
        </w:rPr>
        <w:t xml:space="preserve">elebra </w:t>
      </w:r>
      <w:r w:rsidR="00DE5C8C">
        <w:rPr>
          <w:rFonts w:cs="Arial"/>
          <w:b/>
          <w:sz w:val="28"/>
          <w:szCs w:val="28"/>
          <w:lang w:val="es-ES"/>
        </w:rPr>
        <w:t xml:space="preserve">exitosa </w:t>
      </w:r>
      <w:r w:rsidR="00547B31">
        <w:rPr>
          <w:rFonts w:cs="Arial"/>
          <w:b/>
          <w:sz w:val="28"/>
          <w:szCs w:val="28"/>
          <w:lang w:val="es-ES"/>
        </w:rPr>
        <w:t xml:space="preserve">premier </w:t>
      </w:r>
      <w:r w:rsidR="00DE5C8C">
        <w:rPr>
          <w:rFonts w:cs="Arial"/>
          <w:b/>
          <w:sz w:val="28"/>
          <w:szCs w:val="28"/>
          <w:lang w:val="es-ES"/>
        </w:rPr>
        <w:t>e</w:t>
      </w:r>
      <w:r w:rsidR="00547B31">
        <w:rPr>
          <w:rFonts w:cs="Arial"/>
          <w:b/>
          <w:sz w:val="28"/>
          <w:szCs w:val="28"/>
          <w:lang w:val="es-ES"/>
        </w:rPr>
        <w:t xml:space="preserve">n LogiMAT 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E171CE" w:rsidRPr="00AC66E9" w:rsidRDefault="00E171CE" w:rsidP="00E171CE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223299" w:rsidRPr="00223299" w:rsidRDefault="005558C1" w:rsidP="009A1846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La solución </w:t>
      </w:r>
      <w:r w:rsidR="00294822">
        <w:rPr>
          <w:rFonts w:cs="Arial"/>
          <w:b/>
          <w:sz w:val="24"/>
          <w:szCs w:val="24"/>
          <w:lang w:val="es-ES"/>
        </w:rPr>
        <w:t xml:space="preserve">para la clasificación en bolsas </w:t>
      </w:r>
      <w:r>
        <w:rPr>
          <w:rFonts w:cs="Arial"/>
          <w:b/>
          <w:sz w:val="24"/>
          <w:szCs w:val="24"/>
          <w:lang w:val="es-ES"/>
        </w:rPr>
        <w:t xml:space="preserve">de TGW </w:t>
      </w:r>
      <w:r w:rsidR="00C24BE2">
        <w:rPr>
          <w:rFonts w:cs="Arial"/>
          <w:b/>
          <w:sz w:val="24"/>
          <w:szCs w:val="24"/>
          <w:lang w:val="es-ES"/>
        </w:rPr>
        <w:t>a</w:t>
      </w:r>
      <w:r>
        <w:rPr>
          <w:rFonts w:cs="Arial"/>
          <w:b/>
          <w:sz w:val="24"/>
          <w:szCs w:val="24"/>
          <w:lang w:val="es-ES"/>
        </w:rPr>
        <w:t xml:space="preserve">utomatiza la preparación de pedidos </w:t>
      </w:r>
      <w:r w:rsidR="00223299" w:rsidRPr="00223299">
        <w:rPr>
          <w:rFonts w:cs="Arial"/>
          <w:b/>
          <w:sz w:val="24"/>
          <w:szCs w:val="24"/>
          <w:lang w:val="es-ES"/>
        </w:rPr>
        <w:t xml:space="preserve"> </w:t>
      </w:r>
    </w:p>
    <w:p w:rsidR="00294822" w:rsidRDefault="005558C1" w:rsidP="009A1846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OmniPick: </w:t>
      </w:r>
      <w:r w:rsidR="00294822">
        <w:rPr>
          <w:rFonts w:cs="Arial"/>
          <w:b/>
          <w:sz w:val="24"/>
          <w:szCs w:val="24"/>
          <w:lang w:val="es-ES"/>
        </w:rPr>
        <w:t xml:space="preserve">Una solución basada </w:t>
      </w:r>
      <w:r w:rsidR="005F222B">
        <w:rPr>
          <w:rFonts w:cs="Arial"/>
          <w:b/>
          <w:sz w:val="24"/>
          <w:szCs w:val="24"/>
          <w:lang w:val="es-ES"/>
        </w:rPr>
        <w:t>en las últimas investigaciones realizadas en l</w:t>
      </w:r>
      <w:r w:rsidR="00294822">
        <w:rPr>
          <w:rFonts w:cs="Arial"/>
          <w:b/>
          <w:sz w:val="24"/>
          <w:szCs w:val="24"/>
          <w:lang w:val="es-ES"/>
        </w:rPr>
        <w:t>os campos de inteligencia artificial y robótica inteligente</w:t>
      </w:r>
    </w:p>
    <w:p w:rsidR="00E171CE" w:rsidRPr="00DA2884" w:rsidRDefault="000E611E" w:rsidP="009A1846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Ideal para </w:t>
      </w:r>
      <w:r w:rsidR="00DE5C8C">
        <w:rPr>
          <w:rFonts w:cs="Arial"/>
          <w:b/>
          <w:sz w:val="24"/>
          <w:szCs w:val="24"/>
          <w:lang w:val="es-ES"/>
        </w:rPr>
        <w:t>el e-commerce</w:t>
      </w:r>
      <w:r w:rsidR="00CC39F0">
        <w:rPr>
          <w:rFonts w:cs="Arial"/>
          <w:b/>
          <w:sz w:val="24"/>
          <w:szCs w:val="24"/>
          <w:lang w:val="es-ES"/>
        </w:rPr>
        <w:t xml:space="preserve"> y el omni-channel, g</w:t>
      </w:r>
      <w:r w:rsidR="00477D41">
        <w:rPr>
          <w:rFonts w:cs="Arial"/>
          <w:b/>
          <w:sz w:val="24"/>
          <w:szCs w:val="24"/>
          <w:lang w:val="es-ES"/>
        </w:rPr>
        <w:t xml:space="preserve">racias a sus capacidades </w:t>
      </w:r>
      <w:r w:rsidR="004A2262">
        <w:rPr>
          <w:rFonts w:cs="Arial"/>
          <w:b/>
          <w:sz w:val="24"/>
          <w:szCs w:val="24"/>
          <w:lang w:val="es-ES"/>
        </w:rPr>
        <w:t xml:space="preserve">de </w:t>
      </w:r>
      <w:r w:rsidR="00477D41">
        <w:rPr>
          <w:rFonts w:cs="Arial"/>
          <w:b/>
          <w:sz w:val="24"/>
          <w:szCs w:val="24"/>
          <w:lang w:val="es-ES"/>
        </w:rPr>
        <w:t xml:space="preserve">carga y descarga automática </w:t>
      </w:r>
      <w:r w:rsidR="00DA2884" w:rsidRPr="00DA2884">
        <w:rPr>
          <w:rFonts w:cs="Arial"/>
          <w:b/>
          <w:sz w:val="24"/>
          <w:szCs w:val="24"/>
          <w:lang w:val="es-ES"/>
        </w:rPr>
        <w:t xml:space="preserve"> </w:t>
      </w:r>
    </w:p>
    <w:p w:rsidR="00E171CE" w:rsidRPr="00477D41" w:rsidRDefault="00E171CE" w:rsidP="00477D41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BF1ED7" w:rsidRDefault="0064089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Marchtrenk,</w:t>
      </w:r>
      <w:r w:rsidR="008F518E">
        <w:rPr>
          <w:rFonts w:cs="Arial"/>
          <w:szCs w:val="20"/>
          <w:lang w:val="es-ES"/>
        </w:rPr>
        <w:t xml:space="preserve"> Austria / Stuttgart, Alemania, 21 de febrero 2019. El especialista</w:t>
      </w:r>
      <w:r w:rsidR="001F6C33">
        <w:rPr>
          <w:rFonts w:cs="Arial"/>
          <w:szCs w:val="20"/>
          <w:lang w:val="es-ES"/>
        </w:rPr>
        <w:t xml:space="preserve"> </w:t>
      </w:r>
      <w:r w:rsidR="00B62097">
        <w:rPr>
          <w:rFonts w:cs="Arial"/>
          <w:szCs w:val="20"/>
          <w:lang w:val="es-ES"/>
        </w:rPr>
        <w:t xml:space="preserve">en  intralogística austriaco TGW ha celebrado la premier mundial de su nuevo clasificador de bolsas OmniPick </w:t>
      </w:r>
      <w:r w:rsidR="00145F4F">
        <w:rPr>
          <w:rFonts w:cs="Arial"/>
          <w:szCs w:val="20"/>
          <w:lang w:val="es-ES"/>
        </w:rPr>
        <w:t xml:space="preserve">en la feria de intralogística LogiMAT 2019 en Stuttgart, Alemania. </w:t>
      </w:r>
      <w:r w:rsidR="00F554BA">
        <w:rPr>
          <w:rFonts w:cs="Arial"/>
          <w:szCs w:val="20"/>
          <w:lang w:val="es-ES"/>
        </w:rPr>
        <w:t xml:space="preserve">Este nuevo e innovador producto está basado en </w:t>
      </w:r>
      <w:r w:rsidR="00A83685">
        <w:rPr>
          <w:rFonts w:cs="Arial"/>
          <w:szCs w:val="20"/>
          <w:lang w:val="es-ES"/>
        </w:rPr>
        <w:t>las investigaci</w:t>
      </w:r>
      <w:r w:rsidR="00B91B63">
        <w:rPr>
          <w:rFonts w:cs="Arial"/>
          <w:szCs w:val="20"/>
          <w:lang w:val="es-ES"/>
        </w:rPr>
        <w:t xml:space="preserve">ones </w:t>
      </w:r>
      <w:r w:rsidR="002C1923">
        <w:rPr>
          <w:rFonts w:cs="Arial"/>
          <w:szCs w:val="20"/>
          <w:lang w:val="es-ES"/>
        </w:rPr>
        <w:t>realizadas en los campos de inteligencia artificial y robótica inteligente –</w:t>
      </w:r>
      <w:r w:rsidR="00BF1ED7">
        <w:rPr>
          <w:rFonts w:cs="Arial"/>
          <w:szCs w:val="20"/>
          <w:lang w:val="es-ES"/>
        </w:rPr>
        <w:t xml:space="preserve"> ofreciendo soluciones para los retos en el e-commerce y omni-channel. </w:t>
      </w:r>
    </w:p>
    <w:p w:rsidR="00E171CE" w:rsidRPr="00EB06CE" w:rsidRDefault="00BF1ED7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</w:p>
    <w:p w:rsidR="001870DC" w:rsidRDefault="0010322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Como una r</w:t>
      </w:r>
      <w:r w:rsidR="00064C49">
        <w:rPr>
          <w:rFonts w:cs="Arial"/>
          <w:szCs w:val="20"/>
          <w:lang w:val="es-ES"/>
        </w:rPr>
        <w:t xml:space="preserve">espuesta dirigida al </w:t>
      </w:r>
      <w:r w:rsidR="006E6A2D">
        <w:rPr>
          <w:rFonts w:cs="Arial"/>
          <w:szCs w:val="20"/>
          <w:lang w:val="es-ES"/>
        </w:rPr>
        <w:t>desafiante lema “Domina lo impredecible”,</w:t>
      </w:r>
      <w:r w:rsidR="00064C49">
        <w:rPr>
          <w:rFonts w:cs="Arial"/>
          <w:szCs w:val="20"/>
          <w:lang w:val="es-ES"/>
        </w:rPr>
        <w:t xml:space="preserve"> la nueva solución </w:t>
      </w:r>
      <w:r>
        <w:rPr>
          <w:rFonts w:cs="Arial"/>
          <w:szCs w:val="20"/>
          <w:lang w:val="es-ES"/>
        </w:rPr>
        <w:t xml:space="preserve">para la clasificación en bolsas, </w:t>
      </w:r>
      <w:r w:rsidR="006E6A2D">
        <w:rPr>
          <w:rFonts w:cs="Arial"/>
          <w:szCs w:val="20"/>
          <w:lang w:val="es-ES"/>
        </w:rPr>
        <w:t>fue presentada en</w:t>
      </w:r>
      <w:r>
        <w:rPr>
          <w:rFonts w:cs="Arial"/>
          <w:szCs w:val="20"/>
          <w:lang w:val="es-ES"/>
        </w:rPr>
        <w:t xml:space="preserve"> el centro del stand de TGW en la feria. Desde el 19 al 21 de febrero 2019, </w:t>
      </w:r>
      <w:r w:rsidR="0098652D">
        <w:rPr>
          <w:rFonts w:cs="Arial"/>
          <w:szCs w:val="20"/>
          <w:lang w:val="es-ES"/>
        </w:rPr>
        <w:t xml:space="preserve">un gran número de </w:t>
      </w:r>
      <w:r w:rsidR="00BA73FE">
        <w:rPr>
          <w:rFonts w:cs="Arial"/>
          <w:szCs w:val="20"/>
          <w:lang w:val="es-ES"/>
        </w:rPr>
        <w:t>asistentes</w:t>
      </w:r>
      <w:r>
        <w:rPr>
          <w:rFonts w:cs="Arial"/>
          <w:szCs w:val="20"/>
          <w:lang w:val="es-ES"/>
        </w:rPr>
        <w:t xml:space="preserve"> internacionales y representantes de los medios tuvieron la oportunidad de </w:t>
      </w:r>
      <w:r w:rsidR="005F3462">
        <w:rPr>
          <w:rFonts w:cs="Arial"/>
          <w:szCs w:val="20"/>
          <w:lang w:val="es-ES"/>
        </w:rPr>
        <w:t>observar de cerca el demo ubicado en el pasillo 5. “Con las soluciones complejas, es sumamente importante</w:t>
      </w:r>
      <w:r w:rsidR="00A65532">
        <w:rPr>
          <w:rFonts w:cs="Arial"/>
          <w:szCs w:val="20"/>
          <w:lang w:val="es-ES"/>
        </w:rPr>
        <w:t xml:space="preserve"> brindar acceso físico a los nuevos productos, </w:t>
      </w:r>
      <w:r w:rsidR="00FF226A">
        <w:rPr>
          <w:rFonts w:cs="Arial"/>
          <w:szCs w:val="20"/>
          <w:lang w:val="es-ES"/>
        </w:rPr>
        <w:t xml:space="preserve">dando la oportunidad a los visitantes de literalmente sujetar los objetos”, indica Christoph Wolkerstorfer, CSO de </w:t>
      </w:r>
      <w:r w:rsidR="00406F71">
        <w:rPr>
          <w:rFonts w:cs="Arial"/>
          <w:szCs w:val="20"/>
          <w:lang w:val="es-ES"/>
        </w:rPr>
        <w:t>TGW Logistics Group. “Este enfoque fue con</w:t>
      </w:r>
      <w:r w:rsidR="0009577E">
        <w:rPr>
          <w:rFonts w:cs="Arial"/>
          <w:szCs w:val="20"/>
          <w:lang w:val="es-ES"/>
        </w:rPr>
        <w:t xml:space="preserve">firmado a lo largo de varias conversaciones con los visitantes”. </w:t>
      </w:r>
      <w:r w:rsidR="00406F71">
        <w:rPr>
          <w:rFonts w:cs="Arial"/>
          <w:szCs w:val="20"/>
          <w:lang w:val="es-ES"/>
        </w:rPr>
        <w:t>Los gerentes de logística y cadena de suministros actu</w:t>
      </w:r>
      <w:r w:rsidR="0009577E">
        <w:rPr>
          <w:rFonts w:cs="Arial"/>
          <w:szCs w:val="20"/>
          <w:lang w:val="es-ES"/>
        </w:rPr>
        <w:t>almente encaran el gran reto de gestionar cada vez más escenarios impredecibles. OmniPick ofr</w:t>
      </w:r>
      <w:r w:rsidR="007B757C">
        <w:rPr>
          <w:rFonts w:cs="Arial"/>
          <w:szCs w:val="20"/>
          <w:lang w:val="es-ES"/>
        </w:rPr>
        <w:t xml:space="preserve">ece la respuesta correcta para tratar esta </w:t>
      </w:r>
      <w:r w:rsidR="0009577E">
        <w:rPr>
          <w:rFonts w:cs="Arial"/>
          <w:szCs w:val="20"/>
          <w:lang w:val="es-ES"/>
        </w:rPr>
        <w:t xml:space="preserve">incertidumbre”. </w:t>
      </w:r>
    </w:p>
    <w:p w:rsidR="00172D7D" w:rsidRDefault="00172D7D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72D7D" w:rsidRDefault="00172D7D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172D7D">
        <w:rPr>
          <w:rFonts w:cs="Arial"/>
          <w:b/>
          <w:szCs w:val="20"/>
          <w:lang w:val="es-ES"/>
        </w:rPr>
        <w:t xml:space="preserve">Transporte, </w:t>
      </w:r>
      <w:r w:rsidR="00554AA8">
        <w:rPr>
          <w:rFonts w:cs="Arial"/>
          <w:b/>
          <w:szCs w:val="20"/>
          <w:lang w:val="es-ES"/>
        </w:rPr>
        <w:t xml:space="preserve">consolidación, </w:t>
      </w:r>
      <w:r w:rsidRPr="00172D7D">
        <w:rPr>
          <w:rFonts w:cs="Arial"/>
          <w:b/>
          <w:szCs w:val="20"/>
          <w:lang w:val="es-ES"/>
        </w:rPr>
        <w:t>clasificación y distribución</w:t>
      </w:r>
    </w:p>
    <w:p w:rsidR="00172D7D" w:rsidRDefault="00172D7D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72D7D" w:rsidRDefault="00156808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OmniPick funciona de la siguiente manera: </w:t>
      </w:r>
      <w:r w:rsidR="00B46361">
        <w:rPr>
          <w:rFonts w:cs="Arial"/>
          <w:szCs w:val="20"/>
          <w:lang w:val="es-ES"/>
        </w:rPr>
        <w:t xml:space="preserve">artículos </w:t>
      </w:r>
      <w:r w:rsidR="001C79EA">
        <w:rPr>
          <w:rFonts w:cs="Arial"/>
          <w:szCs w:val="20"/>
          <w:lang w:val="es-ES"/>
        </w:rPr>
        <w:t>unitarios son puestos</w:t>
      </w:r>
      <w:r w:rsidR="00B46361">
        <w:rPr>
          <w:rFonts w:cs="Arial"/>
          <w:szCs w:val="20"/>
          <w:lang w:val="es-ES"/>
        </w:rPr>
        <w:t xml:space="preserve"> en una bolsa</w:t>
      </w:r>
      <w:r w:rsidR="00B94529">
        <w:rPr>
          <w:rFonts w:cs="Arial"/>
          <w:szCs w:val="20"/>
          <w:lang w:val="es-ES"/>
        </w:rPr>
        <w:t xml:space="preserve"> – ya </w:t>
      </w:r>
      <w:r w:rsidR="00B27C78">
        <w:rPr>
          <w:rFonts w:cs="Arial"/>
          <w:szCs w:val="20"/>
          <w:lang w:val="es-ES"/>
        </w:rPr>
        <w:t>sea prendas de vestir, calzados</w:t>
      </w:r>
      <w:r w:rsidR="00B94529">
        <w:rPr>
          <w:rFonts w:cs="Arial"/>
          <w:szCs w:val="20"/>
          <w:lang w:val="es-ES"/>
        </w:rPr>
        <w:t xml:space="preserve">, electrónicos, </w:t>
      </w:r>
      <w:r w:rsidR="001C79EA">
        <w:rPr>
          <w:rFonts w:cs="Arial"/>
          <w:szCs w:val="20"/>
          <w:lang w:val="es-ES"/>
        </w:rPr>
        <w:t>juguetes, o cosméticos.</w:t>
      </w:r>
      <w:r w:rsidR="007718C8">
        <w:rPr>
          <w:rFonts w:cs="Arial"/>
          <w:szCs w:val="20"/>
          <w:lang w:val="es-ES"/>
        </w:rPr>
        <w:t xml:space="preserve"> Las prendas colgadas también </w:t>
      </w:r>
      <w:r w:rsidR="00CE7C3B">
        <w:rPr>
          <w:rFonts w:cs="Arial"/>
          <w:szCs w:val="20"/>
          <w:lang w:val="es-ES"/>
        </w:rPr>
        <w:t xml:space="preserve">pueden ser procesadas entre bolsas individuales. Este sistema dinámico permite </w:t>
      </w:r>
      <w:r w:rsidR="00D10EEF">
        <w:rPr>
          <w:rFonts w:cs="Arial"/>
          <w:szCs w:val="20"/>
          <w:lang w:val="es-ES"/>
        </w:rPr>
        <w:t xml:space="preserve">no solo </w:t>
      </w:r>
      <w:r w:rsidR="00CE7C3B">
        <w:rPr>
          <w:rFonts w:cs="Arial"/>
          <w:szCs w:val="20"/>
          <w:lang w:val="es-ES"/>
        </w:rPr>
        <w:t xml:space="preserve">que los productos sean transportados, sino también </w:t>
      </w:r>
      <w:r w:rsidR="00554AA8">
        <w:rPr>
          <w:rFonts w:cs="Arial"/>
          <w:szCs w:val="20"/>
          <w:lang w:val="es-ES"/>
        </w:rPr>
        <w:t xml:space="preserve">consolidados, </w:t>
      </w:r>
      <w:r w:rsidR="00162856">
        <w:rPr>
          <w:rFonts w:cs="Arial"/>
          <w:szCs w:val="20"/>
          <w:lang w:val="es-ES"/>
        </w:rPr>
        <w:t>clasificado</w:t>
      </w:r>
      <w:r w:rsidR="000C794F">
        <w:rPr>
          <w:rFonts w:cs="Arial"/>
          <w:szCs w:val="20"/>
          <w:lang w:val="es-ES"/>
        </w:rPr>
        <w:t>s</w:t>
      </w:r>
      <w:r w:rsidR="00BB24A2">
        <w:rPr>
          <w:rFonts w:cs="Arial"/>
          <w:szCs w:val="20"/>
          <w:lang w:val="es-ES"/>
        </w:rPr>
        <w:t xml:space="preserve"> y distribuido</w:t>
      </w:r>
      <w:r w:rsidR="000C794F">
        <w:rPr>
          <w:rFonts w:cs="Arial"/>
          <w:szCs w:val="20"/>
          <w:lang w:val="es-ES"/>
        </w:rPr>
        <w:t>s</w:t>
      </w:r>
      <w:r w:rsidR="00162856">
        <w:rPr>
          <w:rFonts w:cs="Arial"/>
          <w:szCs w:val="20"/>
          <w:lang w:val="es-ES"/>
        </w:rPr>
        <w:t xml:space="preserve"> de manera rápida y eficiente. De particular </w:t>
      </w:r>
      <w:r w:rsidR="00162856">
        <w:rPr>
          <w:rFonts w:cs="Arial"/>
          <w:szCs w:val="20"/>
          <w:lang w:val="es-ES"/>
        </w:rPr>
        <w:lastRenderedPageBreak/>
        <w:t>importancia para g</w:t>
      </w:r>
      <w:r w:rsidR="00881BD8">
        <w:rPr>
          <w:rFonts w:cs="Arial"/>
          <w:szCs w:val="20"/>
          <w:lang w:val="es-ES"/>
        </w:rPr>
        <w:t xml:space="preserve">estionar </w:t>
      </w:r>
      <w:r w:rsidR="000C794F">
        <w:rPr>
          <w:rFonts w:cs="Arial"/>
          <w:szCs w:val="20"/>
          <w:lang w:val="es-ES"/>
        </w:rPr>
        <w:t xml:space="preserve">niveles </w:t>
      </w:r>
      <w:r w:rsidR="00881BD8">
        <w:rPr>
          <w:rFonts w:cs="Arial"/>
          <w:szCs w:val="20"/>
          <w:lang w:val="es-ES"/>
        </w:rPr>
        <w:t>creciente</w:t>
      </w:r>
      <w:r w:rsidR="000C794F">
        <w:rPr>
          <w:rFonts w:cs="Arial"/>
          <w:szCs w:val="20"/>
          <w:lang w:val="es-ES"/>
        </w:rPr>
        <w:t>s</w:t>
      </w:r>
      <w:r w:rsidR="006E4B27">
        <w:rPr>
          <w:rFonts w:cs="Arial"/>
          <w:szCs w:val="20"/>
          <w:lang w:val="es-ES"/>
        </w:rPr>
        <w:t xml:space="preserve"> de e-commerce es el hecho que las devoluciones pueden simplemente ser </w:t>
      </w:r>
      <w:r w:rsidR="00F74AFB">
        <w:rPr>
          <w:rFonts w:cs="Arial"/>
          <w:szCs w:val="20"/>
          <w:lang w:val="es-ES"/>
        </w:rPr>
        <w:t>consolidada</w:t>
      </w:r>
      <w:r w:rsidR="00BA094F">
        <w:rPr>
          <w:rFonts w:cs="Arial"/>
          <w:szCs w:val="20"/>
          <w:lang w:val="es-ES"/>
        </w:rPr>
        <w:t xml:space="preserve">s </w:t>
      </w:r>
      <w:r w:rsidR="006E4B27">
        <w:rPr>
          <w:rFonts w:cs="Arial"/>
          <w:szCs w:val="20"/>
          <w:lang w:val="es-ES"/>
        </w:rPr>
        <w:t xml:space="preserve">y rápidamente removidas cuando un nuevo pedido es </w:t>
      </w:r>
      <w:r w:rsidR="002F3D6F">
        <w:rPr>
          <w:rFonts w:cs="Arial"/>
          <w:szCs w:val="20"/>
          <w:lang w:val="es-ES"/>
        </w:rPr>
        <w:t>re</w:t>
      </w:r>
      <w:r w:rsidR="006E4B27">
        <w:rPr>
          <w:rFonts w:cs="Arial"/>
          <w:szCs w:val="20"/>
          <w:lang w:val="es-ES"/>
        </w:rPr>
        <w:t xml:space="preserve">cibido – eliminando así la necesidad de picking de pedidos. </w:t>
      </w:r>
    </w:p>
    <w:p w:rsidR="006E4B27" w:rsidRDefault="006E4B27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6E4B27" w:rsidRDefault="00B2483E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A diferencia de otros sistemas, OmniPick </w:t>
      </w:r>
      <w:r w:rsidR="00465704">
        <w:rPr>
          <w:rFonts w:cs="Arial"/>
          <w:szCs w:val="20"/>
          <w:lang w:val="es-ES"/>
        </w:rPr>
        <w:t>destaca la carga</w:t>
      </w:r>
      <w:r w:rsidR="00C75AB2">
        <w:rPr>
          <w:rFonts w:cs="Arial"/>
          <w:szCs w:val="20"/>
          <w:lang w:val="es-ES"/>
        </w:rPr>
        <w:t xml:space="preserve"> automática</w:t>
      </w:r>
      <w:r w:rsidR="00465704">
        <w:rPr>
          <w:rFonts w:cs="Arial"/>
          <w:szCs w:val="20"/>
          <w:lang w:val="es-ES"/>
        </w:rPr>
        <w:t xml:space="preserve"> por robot, como también la descarga automática. “</w:t>
      </w:r>
      <w:r w:rsidR="00C21EE3">
        <w:rPr>
          <w:rFonts w:cs="Arial"/>
          <w:szCs w:val="20"/>
          <w:lang w:val="es-ES"/>
        </w:rPr>
        <w:t xml:space="preserve">Este diseño </w:t>
      </w:r>
      <w:r w:rsidR="00E7635F">
        <w:rPr>
          <w:rFonts w:cs="Arial"/>
          <w:szCs w:val="20"/>
          <w:lang w:val="es-ES"/>
        </w:rPr>
        <w:t>hace de O</w:t>
      </w:r>
      <w:r w:rsidR="00465704">
        <w:rPr>
          <w:rFonts w:cs="Arial"/>
          <w:szCs w:val="20"/>
          <w:lang w:val="es-ES"/>
        </w:rPr>
        <w:t xml:space="preserve">mniPick </w:t>
      </w:r>
      <w:r w:rsidR="00E7635F">
        <w:rPr>
          <w:rFonts w:cs="Arial"/>
          <w:szCs w:val="20"/>
          <w:lang w:val="es-ES"/>
        </w:rPr>
        <w:t>u</w:t>
      </w:r>
      <w:r w:rsidR="00465704">
        <w:rPr>
          <w:rFonts w:cs="Arial"/>
          <w:szCs w:val="20"/>
          <w:lang w:val="es-ES"/>
        </w:rPr>
        <w:t>n</w:t>
      </w:r>
      <w:r w:rsidR="00C21EE3">
        <w:rPr>
          <w:rFonts w:cs="Arial"/>
          <w:szCs w:val="20"/>
          <w:lang w:val="es-ES"/>
        </w:rPr>
        <w:t xml:space="preserve"> sistema </w:t>
      </w:r>
      <w:r w:rsidR="00294D62">
        <w:rPr>
          <w:rFonts w:cs="Arial"/>
          <w:szCs w:val="20"/>
          <w:lang w:val="es-ES"/>
        </w:rPr>
        <w:t xml:space="preserve">que no requiere </w:t>
      </w:r>
      <w:r w:rsidR="00590A42">
        <w:rPr>
          <w:rFonts w:cs="Arial"/>
          <w:szCs w:val="20"/>
          <w:lang w:val="es-ES"/>
        </w:rPr>
        <w:t xml:space="preserve">de </w:t>
      </w:r>
      <w:r w:rsidR="00C21EE3">
        <w:rPr>
          <w:rFonts w:cs="Arial"/>
          <w:szCs w:val="20"/>
          <w:lang w:val="es-ES"/>
        </w:rPr>
        <w:t>intervención manual”. L</w:t>
      </w:r>
      <w:r w:rsidR="00242DB6">
        <w:rPr>
          <w:rFonts w:cs="Arial"/>
          <w:szCs w:val="20"/>
          <w:lang w:val="es-ES"/>
        </w:rPr>
        <w:t>os usuarios</w:t>
      </w:r>
      <w:r w:rsidR="00794839">
        <w:rPr>
          <w:rFonts w:cs="Arial"/>
          <w:szCs w:val="20"/>
          <w:lang w:val="es-ES"/>
        </w:rPr>
        <w:t xml:space="preserve"> pueden</w:t>
      </w:r>
      <w:r w:rsidR="00E7635F">
        <w:rPr>
          <w:rFonts w:cs="Arial"/>
          <w:szCs w:val="20"/>
          <w:lang w:val="es-ES"/>
        </w:rPr>
        <w:t xml:space="preserve"> de manera rápida y flexible adaptarse a los</w:t>
      </w:r>
      <w:r w:rsidR="00242DB6">
        <w:rPr>
          <w:rFonts w:cs="Arial"/>
          <w:szCs w:val="20"/>
          <w:lang w:val="es-ES"/>
        </w:rPr>
        <w:t xml:space="preserve"> diferentes escenarios empresariales y estructuras de pedidos cambiantes”.</w:t>
      </w:r>
      <w:r w:rsidR="00FF1B87">
        <w:rPr>
          <w:rFonts w:cs="Arial"/>
          <w:szCs w:val="20"/>
          <w:lang w:val="es-ES"/>
        </w:rPr>
        <w:t xml:space="preserve"> </w:t>
      </w:r>
      <w:r w:rsidR="00242DB6">
        <w:rPr>
          <w:rFonts w:cs="Arial"/>
          <w:szCs w:val="20"/>
          <w:lang w:val="es-ES"/>
        </w:rPr>
        <w:t>OmniPick trae consigo una</w:t>
      </w:r>
      <w:r w:rsidR="003863A4">
        <w:rPr>
          <w:rFonts w:cs="Arial"/>
          <w:szCs w:val="20"/>
          <w:lang w:val="es-ES"/>
        </w:rPr>
        <w:t xml:space="preserve"> alta eficiencia constante, productividad y dinámica”, enfatiza Wolkerstorfer. Por lo tanto, los grupos de interés principales para esta solución innovadora son no solamente los minorista</w:t>
      </w:r>
      <w:r w:rsidR="00700391">
        <w:rPr>
          <w:rFonts w:cs="Arial"/>
          <w:szCs w:val="20"/>
          <w:lang w:val="es-ES"/>
        </w:rPr>
        <w:t>s</w:t>
      </w:r>
      <w:r w:rsidR="003863A4">
        <w:rPr>
          <w:rFonts w:cs="Arial"/>
          <w:szCs w:val="20"/>
          <w:lang w:val="es-ES"/>
        </w:rPr>
        <w:t xml:space="preserve"> en el sector de la Moda, sino también </w:t>
      </w:r>
      <w:r w:rsidR="00700391">
        <w:rPr>
          <w:rFonts w:cs="Arial"/>
          <w:szCs w:val="20"/>
          <w:lang w:val="es-ES"/>
        </w:rPr>
        <w:t xml:space="preserve">participantes en el e-commerce y </w:t>
      </w:r>
      <w:r w:rsidR="003863A4">
        <w:rPr>
          <w:rFonts w:cs="Arial"/>
          <w:szCs w:val="20"/>
          <w:lang w:val="es-ES"/>
        </w:rPr>
        <w:t xml:space="preserve">especialistas para el cumplimiento en el omni-channel en otras industrias. </w:t>
      </w:r>
      <w:r w:rsidR="00242DB6">
        <w:rPr>
          <w:rFonts w:cs="Arial"/>
          <w:szCs w:val="20"/>
          <w:lang w:val="es-ES"/>
        </w:rPr>
        <w:t xml:space="preserve">   </w:t>
      </w:r>
      <w:r w:rsidR="000650A4">
        <w:rPr>
          <w:rFonts w:cs="Arial"/>
          <w:szCs w:val="20"/>
          <w:lang w:val="es-ES"/>
        </w:rPr>
        <w:t xml:space="preserve"> </w:t>
      </w:r>
      <w:r w:rsidR="00E7635F">
        <w:rPr>
          <w:rFonts w:cs="Arial"/>
          <w:szCs w:val="20"/>
          <w:lang w:val="es-ES"/>
        </w:rPr>
        <w:t xml:space="preserve"> </w:t>
      </w:r>
      <w:r w:rsidR="00794839">
        <w:rPr>
          <w:rFonts w:cs="Arial"/>
          <w:szCs w:val="20"/>
          <w:lang w:val="es-ES"/>
        </w:rPr>
        <w:t xml:space="preserve"> </w:t>
      </w:r>
      <w:r w:rsidR="00465704">
        <w:rPr>
          <w:rFonts w:cs="Arial"/>
          <w:szCs w:val="20"/>
          <w:lang w:val="es-ES"/>
        </w:rPr>
        <w:t xml:space="preserve">  </w:t>
      </w:r>
    </w:p>
    <w:p w:rsidR="00B2483E" w:rsidRDefault="00B2483E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B2483E" w:rsidRDefault="00B2483E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B2483E">
        <w:rPr>
          <w:rFonts w:cs="Arial"/>
          <w:b/>
          <w:szCs w:val="20"/>
          <w:lang w:val="es-ES"/>
        </w:rPr>
        <w:t>Preparación automática de pedidos</w:t>
      </w:r>
    </w:p>
    <w:p w:rsidR="00B2483E" w:rsidRDefault="00B2483E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B2483E" w:rsidRPr="00B2483E" w:rsidRDefault="00B2483E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Con OmniPick, TGW est</w:t>
      </w:r>
      <w:r w:rsidR="00A75EAD">
        <w:rPr>
          <w:rFonts w:cs="Arial"/>
          <w:szCs w:val="20"/>
          <w:lang w:val="es-ES"/>
        </w:rPr>
        <w:t xml:space="preserve">á automatizando la preparación de pedidos desde la recepción a la expedición. “Esto tiene grandes beneficios para el rendimiento” – como también para el coste total de propiedad”, enfatiza Wolkerstorfer. </w:t>
      </w:r>
    </w:p>
    <w:p w:rsidR="00B2483E" w:rsidRDefault="00B2483E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6E4B27" w:rsidRPr="00156808" w:rsidRDefault="0051036C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OmniPick ser</w:t>
      </w:r>
      <w:r w:rsidR="00AC1152">
        <w:rPr>
          <w:rFonts w:cs="Arial"/>
          <w:szCs w:val="20"/>
          <w:lang w:val="es-ES"/>
        </w:rPr>
        <w:t>á exhibido</w:t>
      </w:r>
      <w:r>
        <w:rPr>
          <w:rFonts w:cs="Arial"/>
          <w:szCs w:val="20"/>
          <w:lang w:val="es-ES"/>
        </w:rPr>
        <w:t xml:space="preserve"> en ProMat en Chicago </w:t>
      </w:r>
      <w:r w:rsidR="00AC1152">
        <w:rPr>
          <w:rFonts w:cs="Arial"/>
          <w:szCs w:val="20"/>
          <w:lang w:val="es-ES"/>
        </w:rPr>
        <w:t>con el objetivo de presentar la solución innovadora a empresas en toda América del Norte. Con m</w:t>
      </w:r>
      <w:r w:rsidR="001A66B3">
        <w:rPr>
          <w:rFonts w:cs="Arial"/>
          <w:szCs w:val="20"/>
          <w:lang w:val="es-ES"/>
        </w:rPr>
        <w:t xml:space="preserve">ás de 1,000 expositores, ProMat está considerada como la exhibición en materia de intralogística más importante en el continente americano y tendrá lugar desde el 08 al 11 de abril en Chicago.  </w:t>
      </w:r>
    </w:p>
    <w:p w:rsidR="00852C0B" w:rsidRDefault="00344DE8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  <w:r w:rsidR="008A4B3B">
        <w:rPr>
          <w:rFonts w:cs="Arial"/>
          <w:szCs w:val="20"/>
          <w:lang w:val="es-ES"/>
        </w:rPr>
        <w:t xml:space="preserve">   </w:t>
      </w:r>
      <w:r w:rsidR="009E6530">
        <w:rPr>
          <w:rFonts w:cs="Arial"/>
          <w:szCs w:val="20"/>
          <w:lang w:val="es-ES"/>
        </w:rPr>
        <w:t xml:space="preserve">  </w:t>
      </w:r>
      <w:r w:rsidR="00AA7388">
        <w:rPr>
          <w:rFonts w:cs="Arial"/>
          <w:szCs w:val="20"/>
          <w:lang w:val="es-ES"/>
        </w:rPr>
        <w:t xml:space="preserve"> </w:t>
      </w:r>
      <w:r w:rsidR="003E12C8">
        <w:rPr>
          <w:rFonts w:cs="Arial"/>
          <w:szCs w:val="20"/>
          <w:lang w:val="es-ES"/>
        </w:rPr>
        <w:t xml:space="preserve"> </w:t>
      </w:r>
      <w:r w:rsidR="007547D7">
        <w:rPr>
          <w:rFonts w:cs="Arial"/>
          <w:szCs w:val="20"/>
          <w:lang w:val="es-ES"/>
        </w:rPr>
        <w:t xml:space="preserve">   </w:t>
      </w:r>
      <w:r w:rsidR="00AE6EAD">
        <w:rPr>
          <w:rFonts w:cs="Arial"/>
          <w:szCs w:val="20"/>
          <w:lang w:val="es-ES"/>
        </w:rPr>
        <w:t xml:space="preserve"> </w:t>
      </w:r>
      <w:r w:rsidR="008A1DC6">
        <w:rPr>
          <w:rFonts w:cs="Arial"/>
          <w:szCs w:val="20"/>
          <w:lang w:val="es-ES"/>
        </w:rPr>
        <w:t xml:space="preserve"> </w:t>
      </w:r>
      <w:r w:rsidR="007A4C13">
        <w:rPr>
          <w:rFonts w:cs="Arial"/>
          <w:szCs w:val="20"/>
          <w:lang w:val="es-ES"/>
        </w:rPr>
        <w:t xml:space="preserve"> </w:t>
      </w:r>
      <w:r w:rsidR="00852C0B">
        <w:rPr>
          <w:rFonts w:cs="Arial"/>
          <w:szCs w:val="20"/>
          <w:lang w:val="es-ES"/>
        </w:rPr>
        <w:t xml:space="preserve"> </w:t>
      </w:r>
      <w:r w:rsidR="00896CC0">
        <w:rPr>
          <w:rFonts w:cs="Arial"/>
          <w:szCs w:val="20"/>
          <w:lang w:val="es-ES"/>
        </w:rPr>
        <w:t xml:space="preserve">  </w:t>
      </w:r>
      <w:r w:rsidR="008F622D">
        <w:rPr>
          <w:rFonts w:cs="Arial"/>
          <w:szCs w:val="20"/>
          <w:lang w:val="es-ES"/>
        </w:rPr>
        <w:t xml:space="preserve"> </w:t>
      </w:r>
      <w:r w:rsidR="004F1E92">
        <w:rPr>
          <w:rFonts w:cs="Arial"/>
          <w:szCs w:val="20"/>
          <w:lang w:val="es-ES"/>
        </w:rPr>
        <w:t xml:space="preserve"> </w:t>
      </w:r>
      <w:r w:rsidR="001D0FC9">
        <w:rPr>
          <w:rFonts w:cs="Arial"/>
          <w:szCs w:val="20"/>
          <w:lang w:val="es-ES"/>
        </w:rPr>
        <w:t xml:space="preserve"> </w:t>
      </w: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97459" w:rsidRDefault="0019745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bookmarkStart w:id="0" w:name="_GoBack"/>
      <w:bookmarkEnd w:id="0"/>
    </w:p>
    <w:p w:rsidR="00852C0B" w:rsidRDefault="00513EED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E1754C" w:rsidRDefault="001D0FC9" w:rsidP="00A21E4A">
      <w:pPr>
        <w:spacing w:line="360" w:lineRule="auto"/>
        <w:ind w:left="0" w:right="1843"/>
        <w:rPr>
          <w:b/>
          <w:sz w:val="22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Default="00852C0B" w:rsidP="00852C0B">
      <w:pPr>
        <w:spacing w:line="360" w:lineRule="auto"/>
        <w:ind w:left="0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C05457" w:rsidRDefault="00C05457" w:rsidP="00852C0B">
      <w:pPr>
        <w:spacing w:line="360" w:lineRule="auto"/>
        <w:ind w:left="0"/>
        <w:rPr>
          <w:rFonts w:cs="Arial"/>
          <w:szCs w:val="20"/>
          <w:lang w:val="es-ES"/>
        </w:rPr>
      </w:pPr>
    </w:p>
    <w:p w:rsidR="00852C0B" w:rsidRPr="00852C0B" w:rsidRDefault="00852C0B" w:rsidP="00852C0B">
      <w:pPr>
        <w:spacing w:line="360" w:lineRule="auto"/>
        <w:ind w:left="0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560A7A" w:rsidRPr="00852C0B" w:rsidRDefault="00560A7A" w:rsidP="00852C0B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171CE">
        <w:rPr>
          <w:rFonts w:cs="Arial"/>
          <w:szCs w:val="20"/>
          <w:lang w:val="en-AU"/>
        </w:rPr>
        <w:t>Ph</w:t>
      </w:r>
      <w:proofErr w:type="spellEnd"/>
      <w:r w:rsidRPr="00E171CE">
        <w:rPr>
          <w:rFonts w:cs="Arial"/>
          <w:szCs w:val="20"/>
          <w:lang w:val="en-AU"/>
        </w:rPr>
        <w:t>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Contactos de prensa</w:t>
      </w:r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ED" w:rsidRDefault="00513EED" w:rsidP="00764006">
      <w:pPr>
        <w:spacing w:line="240" w:lineRule="auto"/>
      </w:pPr>
      <w:r>
        <w:separator/>
      </w:r>
    </w:p>
  </w:endnote>
  <w:endnote w:type="continuationSeparator" w:id="0">
    <w:p w:rsidR="00513EED" w:rsidRDefault="00513EE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197459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197459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ED" w:rsidRDefault="00513EED" w:rsidP="00764006">
      <w:pPr>
        <w:spacing w:line="240" w:lineRule="auto"/>
      </w:pPr>
      <w:r>
        <w:separator/>
      </w:r>
    </w:p>
  </w:footnote>
  <w:footnote w:type="continuationSeparator" w:id="0">
    <w:p w:rsidR="00513EED" w:rsidRDefault="00513EE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17931"/>
    <w:rsid w:val="000220DD"/>
    <w:rsid w:val="000362EF"/>
    <w:rsid w:val="00045685"/>
    <w:rsid w:val="00045C9C"/>
    <w:rsid w:val="00045F47"/>
    <w:rsid w:val="00046408"/>
    <w:rsid w:val="00047282"/>
    <w:rsid w:val="00064C49"/>
    <w:rsid w:val="000650A4"/>
    <w:rsid w:val="0007311D"/>
    <w:rsid w:val="00086319"/>
    <w:rsid w:val="00086385"/>
    <w:rsid w:val="0009577E"/>
    <w:rsid w:val="00095936"/>
    <w:rsid w:val="00095B8E"/>
    <w:rsid w:val="000A267E"/>
    <w:rsid w:val="000A6CE7"/>
    <w:rsid w:val="000B65C7"/>
    <w:rsid w:val="000C38EE"/>
    <w:rsid w:val="000C53E3"/>
    <w:rsid w:val="000C794F"/>
    <w:rsid w:val="000D32EB"/>
    <w:rsid w:val="000E20AF"/>
    <w:rsid w:val="000E33BA"/>
    <w:rsid w:val="000E33FB"/>
    <w:rsid w:val="000E3927"/>
    <w:rsid w:val="000E611E"/>
    <w:rsid w:val="000F6CC2"/>
    <w:rsid w:val="000F750C"/>
    <w:rsid w:val="00100BDA"/>
    <w:rsid w:val="00102128"/>
    <w:rsid w:val="00102353"/>
    <w:rsid w:val="00103222"/>
    <w:rsid w:val="00103B57"/>
    <w:rsid w:val="00106523"/>
    <w:rsid w:val="00114EE0"/>
    <w:rsid w:val="0012627D"/>
    <w:rsid w:val="0012782F"/>
    <w:rsid w:val="00131A55"/>
    <w:rsid w:val="001338DB"/>
    <w:rsid w:val="00137429"/>
    <w:rsid w:val="00142015"/>
    <w:rsid w:val="00142599"/>
    <w:rsid w:val="00142D0C"/>
    <w:rsid w:val="00145F4F"/>
    <w:rsid w:val="00147C5F"/>
    <w:rsid w:val="00152760"/>
    <w:rsid w:val="00155AE9"/>
    <w:rsid w:val="00156808"/>
    <w:rsid w:val="00162856"/>
    <w:rsid w:val="00165988"/>
    <w:rsid w:val="00172D7D"/>
    <w:rsid w:val="001779E7"/>
    <w:rsid w:val="00183067"/>
    <w:rsid w:val="00185FCF"/>
    <w:rsid w:val="001870DC"/>
    <w:rsid w:val="0019186D"/>
    <w:rsid w:val="00191D7D"/>
    <w:rsid w:val="00194111"/>
    <w:rsid w:val="00195BA1"/>
    <w:rsid w:val="00197459"/>
    <w:rsid w:val="001A09CE"/>
    <w:rsid w:val="001A66B3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C4794"/>
    <w:rsid w:val="001C79EA"/>
    <w:rsid w:val="001D0FC9"/>
    <w:rsid w:val="001D7887"/>
    <w:rsid w:val="001E0008"/>
    <w:rsid w:val="001E6404"/>
    <w:rsid w:val="001F01F2"/>
    <w:rsid w:val="001F2A46"/>
    <w:rsid w:val="001F6C33"/>
    <w:rsid w:val="0020344F"/>
    <w:rsid w:val="00203677"/>
    <w:rsid w:val="002177D4"/>
    <w:rsid w:val="00220DA8"/>
    <w:rsid w:val="00223299"/>
    <w:rsid w:val="00223EA8"/>
    <w:rsid w:val="0023663F"/>
    <w:rsid w:val="00242DB6"/>
    <w:rsid w:val="00245527"/>
    <w:rsid w:val="00250BA2"/>
    <w:rsid w:val="00262F29"/>
    <w:rsid w:val="0026487A"/>
    <w:rsid w:val="00265358"/>
    <w:rsid w:val="00273328"/>
    <w:rsid w:val="002820AB"/>
    <w:rsid w:val="00285C77"/>
    <w:rsid w:val="00287AC7"/>
    <w:rsid w:val="00294822"/>
    <w:rsid w:val="00294D62"/>
    <w:rsid w:val="002A0EEA"/>
    <w:rsid w:val="002A1224"/>
    <w:rsid w:val="002A19B6"/>
    <w:rsid w:val="002A3009"/>
    <w:rsid w:val="002A4325"/>
    <w:rsid w:val="002A4E0B"/>
    <w:rsid w:val="002A564B"/>
    <w:rsid w:val="002B01D3"/>
    <w:rsid w:val="002C0149"/>
    <w:rsid w:val="002C1923"/>
    <w:rsid w:val="002C36E5"/>
    <w:rsid w:val="002C69C9"/>
    <w:rsid w:val="002D319B"/>
    <w:rsid w:val="002D4089"/>
    <w:rsid w:val="002D6158"/>
    <w:rsid w:val="002F3D6F"/>
    <w:rsid w:val="003107A7"/>
    <w:rsid w:val="00310975"/>
    <w:rsid w:val="00314A98"/>
    <w:rsid w:val="00320511"/>
    <w:rsid w:val="00322CCA"/>
    <w:rsid w:val="00323F79"/>
    <w:rsid w:val="003327F2"/>
    <w:rsid w:val="0033354F"/>
    <w:rsid w:val="003367F4"/>
    <w:rsid w:val="00336D99"/>
    <w:rsid w:val="00343BB5"/>
    <w:rsid w:val="00344DE8"/>
    <w:rsid w:val="00345413"/>
    <w:rsid w:val="00345E2E"/>
    <w:rsid w:val="00345EEB"/>
    <w:rsid w:val="00353A88"/>
    <w:rsid w:val="00365345"/>
    <w:rsid w:val="00367F43"/>
    <w:rsid w:val="0037168C"/>
    <w:rsid w:val="003742FE"/>
    <w:rsid w:val="00377F06"/>
    <w:rsid w:val="00382EDF"/>
    <w:rsid w:val="00385DAF"/>
    <w:rsid w:val="003863A4"/>
    <w:rsid w:val="00386447"/>
    <w:rsid w:val="00386B3D"/>
    <w:rsid w:val="0039221F"/>
    <w:rsid w:val="00393670"/>
    <w:rsid w:val="003937AD"/>
    <w:rsid w:val="003A1305"/>
    <w:rsid w:val="003A35D1"/>
    <w:rsid w:val="003A3D40"/>
    <w:rsid w:val="003A4F91"/>
    <w:rsid w:val="003A5CDA"/>
    <w:rsid w:val="003A6D30"/>
    <w:rsid w:val="003B2F92"/>
    <w:rsid w:val="003B39A1"/>
    <w:rsid w:val="003B47D3"/>
    <w:rsid w:val="003B509C"/>
    <w:rsid w:val="003B5271"/>
    <w:rsid w:val="003B57BC"/>
    <w:rsid w:val="003B62B4"/>
    <w:rsid w:val="003B7A94"/>
    <w:rsid w:val="003C1722"/>
    <w:rsid w:val="003E0DC6"/>
    <w:rsid w:val="003E12C8"/>
    <w:rsid w:val="003E1FFC"/>
    <w:rsid w:val="003E3F4D"/>
    <w:rsid w:val="003E6164"/>
    <w:rsid w:val="004022C2"/>
    <w:rsid w:val="00406F71"/>
    <w:rsid w:val="004104A8"/>
    <w:rsid w:val="00420048"/>
    <w:rsid w:val="00421BE2"/>
    <w:rsid w:val="004242C5"/>
    <w:rsid w:val="004265B6"/>
    <w:rsid w:val="004272DB"/>
    <w:rsid w:val="00427466"/>
    <w:rsid w:val="004277EE"/>
    <w:rsid w:val="00431015"/>
    <w:rsid w:val="004317EC"/>
    <w:rsid w:val="0043387C"/>
    <w:rsid w:val="00435DBC"/>
    <w:rsid w:val="00440DC9"/>
    <w:rsid w:val="00451FDA"/>
    <w:rsid w:val="00456A9F"/>
    <w:rsid w:val="004610E8"/>
    <w:rsid w:val="00462574"/>
    <w:rsid w:val="00463BC2"/>
    <w:rsid w:val="00464CEA"/>
    <w:rsid w:val="00464F70"/>
    <w:rsid w:val="00465704"/>
    <w:rsid w:val="004713CE"/>
    <w:rsid w:val="004746BE"/>
    <w:rsid w:val="0047613B"/>
    <w:rsid w:val="00477D41"/>
    <w:rsid w:val="004832B0"/>
    <w:rsid w:val="00483405"/>
    <w:rsid w:val="00494C82"/>
    <w:rsid w:val="00496B29"/>
    <w:rsid w:val="004A2262"/>
    <w:rsid w:val="004A3953"/>
    <w:rsid w:val="004A3FD4"/>
    <w:rsid w:val="004B219C"/>
    <w:rsid w:val="004B3F79"/>
    <w:rsid w:val="004B70F5"/>
    <w:rsid w:val="004C5917"/>
    <w:rsid w:val="004C6217"/>
    <w:rsid w:val="004D1613"/>
    <w:rsid w:val="004D2C6D"/>
    <w:rsid w:val="004D3D8C"/>
    <w:rsid w:val="004F1E92"/>
    <w:rsid w:val="004F6ECF"/>
    <w:rsid w:val="0050153C"/>
    <w:rsid w:val="0051036C"/>
    <w:rsid w:val="005121B9"/>
    <w:rsid w:val="005136AB"/>
    <w:rsid w:val="00513EED"/>
    <w:rsid w:val="00515151"/>
    <w:rsid w:val="00523149"/>
    <w:rsid w:val="00534818"/>
    <w:rsid w:val="00534D59"/>
    <w:rsid w:val="00545BF8"/>
    <w:rsid w:val="00547B31"/>
    <w:rsid w:val="005534D9"/>
    <w:rsid w:val="00554AA8"/>
    <w:rsid w:val="005558C1"/>
    <w:rsid w:val="00560A7A"/>
    <w:rsid w:val="0056459D"/>
    <w:rsid w:val="00571727"/>
    <w:rsid w:val="00572ACA"/>
    <w:rsid w:val="00574AF2"/>
    <w:rsid w:val="00575440"/>
    <w:rsid w:val="00583B10"/>
    <w:rsid w:val="0058443D"/>
    <w:rsid w:val="00585363"/>
    <w:rsid w:val="00590A42"/>
    <w:rsid w:val="00593FE1"/>
    <w:rsid w:val="00595F5F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5427"/>
    <w:rsid w:val="005F0CD7"/>
    <w:rsid w:val="005F1EA6"/>
    <w:rsid w:val="005F222B"/>
    <w:rsid w:val="005F3462"/>
    <w:rsid w:val="005F366F"/>
    <w:rsid w:val="006037FB"/>
    <w:rsid w:val="00606EB8"/>
    <w:rsid w:val="00610D92"/>
    <w:rsid w:val="00612153"/>
    <w:rsid w:val="00614B22"/>
    <w:rsid w:val="00614DE7"/>
    <w:rsid w:val="006150A8"/>
    <w:rsid w:val="006156C8"/>
    <w:rsid w:val="00617806"/>
    <w:rsid w:val="00620A28"/>
    <w:rsid w:val="00623EDB"/>
    <w:rsid w:val="0062546A"/>
    <w:rsid w:val="00625B35"/>
    <w:rsid w:val="00626565"/>
    <w:rsid w:val="006273C7"/>
    <w:rsid w:val="00630310"/>
    <w:rsid w:val="00640893"/>
    <w:rsid w:val="006437FF"/>
    <w:rsid w:val="00643CDE"/>
    <w:rsid w:val="006607CC"/>
    <w:rsid w:val="00660B22"/>
    <w:rsid w:val="00664198"/>
    <w:rsid w:val="0067197F"/>
    <w:rsid w:val="0067659E"/>
    <w:rsid w:val="00676996"/>
    <w:rsid w:val="00677B13"/>
    <w:rsid w:val="006903B4"/>
    <w:rsid w:val="00694BDD"/>
    <w:rsid w:val="006955DC"/>
    <w:rsid w:val="006A109C"/>
    <w:rsid w:val="006B28AB"/>
    <w:rsid w:val="006B29B2"/>
    <w:rsid w:val="006B4E87"/>
    <w:rsid w:val="006B519D"/>
    <w:rsid w:val="006B7887"/>
    <w:rsid w:val="006C2268"/>
    <w:rsid w:val="006C79BB"/>
    <w:rsid w:val="006D240C"/>
    <w:rsid w:val="006D3599"/>
    <w:rsid w:val="006D7ABD"/>
    <w:rsid w:val="006E3CD3"/>
    <w:rsid w:val="006E4B27"/>
    <w:rsid w:val="006E6A2D"/>
    <w:rsid w:val="006F0740"/>
    <w:rsid w:val="006F4F34"/>
    <w:rsid w:val="00700391"/>
    <w:rsid w:val="007003DA"/>
    <w:rsid w:val="00704BFD"/>
    <w:rsid w:val="007058A0"/>
    <w:rsid w:val="0071184A"/>
    <w:rsid w:val="00722C1F"/>
    <w:rsid w:val="0072360D"/>
    <w:rsid w:val="007270F1"/>
    <w:rsid w:val="00727A6F"/>
    <w:rsid w:val="007303A5"/>
    <w:rsid w:val="007317B6"/>
    <w:rsid w:val="00733C81"/>
    <w:rsid w:val="007344D8"/>
    <w:rsid w:val="00740CEB"/>
    <w:rsid w:val="00742585"/>
    <w:rsid w:val="00743B0E"/>
    <w:rsid w:val="007442EB"/>
    <w:rsid w:val="007502BB"/>
    <w:rsid w:val="00752E6C"/>
    <w:rsid w:val="007547D7"/>
    <w:rsid w:val="007549DF"/>
    <w:rsid w:val="00756B46"/>
    <w:rsid w:val="00756BAA"/>
    <w:rsid w:val="00762B6D"/>
    <w:rsid w:val="00764006"/>
    <w:rsid w:val="00764B56"/>
    <w:rsid w:val="007663DF"/>
    <w:rsid w:val="007718C8"/>
    <w:rsid w:val="00772037"/>
    <w:rsid w:val="00775A54"/>
    <w:rsid w:val="00776267"/>
    <w:rsid w:val="007771C5"/>
    <w:rsid w:val="00780173"/>
    <w:rsid w:val="00787E86"/>
    <w:rsid w:val="007927AE"/>
    <w:rsid w:val="00794459"/>
    <w:rsid w:val="00794839"/>
    <w:rsid w:val="007A0C76"/>
    <w:rsid w:val="007A4C13"/>
    <w:rsid w:val="007A54A1"/>
    <w:rsid w:val="007B022B"/>
    <w:rsid w:val="007B1786"/>
    <w:rsid w:val="007B1C97"/>
    <w:rsid w:val="007B362F"/>
    <w:rsid w:val="007B630A"/>
    <w:rsid w:val="007B757C"/>
    <w:rsid w:val="007C0613"/>
    <w:rsid w:val="007C1E1D"/>
    <w:rsid w:val="007C7364"/>
    <w:rsid w:val="007D08F3"/>
    <w:rsid w:val="007D0E42"/>
    <w:rsid w:val="007D148B"/>
    <w:rsid w:val="007D6ACE"/>
    <w:rsid w:val="007E4BE3"/>
    <w:rsid w:val="007F2311"/>
    <w:rsid w:val="007F34B1"/>
    <w:rsid w:val="007F4896"/>
    <w:rsid w:val="007F4C45"/>
    <w:rsid w:val="007F4E5E"/>
    <w:rsid w:val="007F4F96"/>
    <w:rsid w:val="007F6B43"/>
    <w:rsid w:val="00806F99"/>
    <w:rsid w:val="00807724"/>
    <w:rsid w:val="00812E4D"/>
    <w:rsid w:val="00821DAB"/>
    <w:rsid w:val="0082204B"/>
    <w:rsid w:val="00831554"/>
    <w:rsid w:val="00837915"/>
    <w:rsid w:val="0084708D"/>
    <w:rsid w:val="00850C48"/>
    <w:rsid w:val="00852C0B"/>
    <w:rsid w:val="00852D42"/>
    <w:rsid w:val="00853570"/>
    <w:rsid w:val="00853FC7"/>
    <w:rsid w:val="00854D8B"/>
    <w:rsid w:val="00855ECE"/>
    <w:rsid w:val="0085607B"/>
    <w:rsid w:val="00856E68"/>
    <w:rsid w:val="00860B5B"/>
    <w:rsid w:val="00860C5A"/>
    <w:rsid w:val="00870A0F"/>
    <w:rsid w:val="0087183E"/>
    <w:rsid w:val="00874136"/>
    <w:rsid w:val="00881BD8"/>
    <w:rsid w:val="00884364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2342"/>
    <w:rsid w:val="008B3F1B"/>
    <w:rsid w:val="008B7DCA"/>
    <w:rsid w:val="008C1E4D"/>
    <w:rsid w:val="008C2429"/>
    <w:rsid w:val="008C5A1B"/>
    <w:rsid w:val="008C62E5"/>
    <w:rsid w:val="008C7CB8"/>
    <w:rsid w:val="008D06BE"/>
    <w:rsid w:val="008D1D93"/>
    <w:rsid w:val="008D7FF7"/>
    <w:rsid w:val="008E7A6F"/>
    <w:rsid w:val="008F0F4D"/>
    <w:rsid w:val="008F2AC5"/>
    <w:rsid w:val="008F518E"/>
    <w:rsid w:val="008F622D"/>
    <w:rsid w:val="009006FC"/>
    <w:rsid w:val="00903DEA"/>
    <w:rsid w:val="0090593C"/>
    <w:rsid w:val="00906A4C"/>
    <w:rsid w:val="00912C82"/>
    <w:rsid w:val="00914596"/>
    <w:rsid w:val="00920D0B"/>
    <w:rsid w:val="009242D9"/>
    <w:rsid w:val="009248C3"/>
    <w:rsid w:val="009275F8"/>
    <w:rsid w:val="009321FE"/>
    <w:rsid w:val="00957F5C"/>
    <w:rsid w:val="0096004A"/>
    <w:rsid w:val="00963BEA"/>
    <w:rsid w:val="00970363"/>
    <w:rsid w:val="00970CC7"/>
    <w:rsid w:val="009768AC"/>
    <w:rsid w:val="009805A6"/>
    <w:rsid w:val="00981E8E"/>
    <w:rsid w:val="0098652D"/>
    <w:rsid w:val="00986D52"/>
    <w:rsid w:val="00997993"/>
    <w:rsid w:val="00997C23"/>
    <w:rsid w:val="009A206D"/>
    <w:rsid w:val="009A5277"/>
    <w:rsid w:val="009A61A0"/>
    <w:rsid w:val="009B1F27"/>
    <w:rsid w:val="009B268D"/>
    <w:rsid w:val="009B6420"/>
    <w:rsid w:val="009B75C6"/>
    <w:rsid w:val="009C0293"/>
    <w:rsid w:val="009D1BC4"/>
    <w:rsid w:val="009E2033"/>
    <w:rsid w:val="009E4C9B"/>
    <w:rsid w:val="009E6530"/>
    <w:rsid w:val="009E79F0"/>
    <w:rsid w:val="009F2DB7"/>
    <w:rsid w:val="009F2E2C"/>
    <w:rsid w:val="00A00CCD"/>
    <w:rsid w:val="00A01BF4"/>
    <w:rsid w:val="00A035F1"/>
    <w:rsid w:val="00A06684"/>
    <w:rsid w:val="00A21E4A"/>
    <w:rsid w:val="00A22B75"/>
    <w:rsid w:val="00A26CB1"/>
    <w:rsid w:val="00A27577"/>
    <w:rsid w:val="00A34171"/>
    <w:rsid w:val="00A35831"/>
    <w:rsid w:val="00A367E2"/>
    <w:rsid w:val="00A44431"/>
    <w:rsid w:val="00A471EA"/>
    <w:rsid w:val="00A510C0"/>
    <w:rsid w:val="00A575D3"/>
    <w:rsid w:val="00A63795"/>
    <w:rsid w:val="00A64C96"/>
    <w:rsid w:val="00A65532"/>
    <w:rsid w:val="00A65671"/>
    <w:rsid w:val="00A67E5B"/>
    <w:rsid w:val="00A72304"/>
    <w:rsid w:val="00A75EAD"/>
    <w:rsid w:val="00A81BBD"/>
    <w:rsid w:val="00A83685"/>
    <w:rsid w:val="00A85E91"/>
    <w:rsid w:val="00A874D1"/>
    <w:rsid w:val="00A97BFD"/>
    <w:rsid w:val="00AA055D"/>
    <w:rsid w:val="00AA52E5"/>
    <w:rsid w:val="00AA7388"/>
    <w:rsid w:val="00AA7624"/>
    <w:rsid w:val="00AB0ECC"/>
    <w:rsid w:val="00AB2EE2"/>
    <w:rsid w:val="00AC1152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E6EAD"/>
    <w:rsid w:val="00AF2210"/>
    <w:rsid w:val="00AF2706"/>
    <w:rsid w:val="00AF330A"/>
    <w:rsid w:val="00B03B65"/>
    <w:rsid w:val="00B06010"/>
    <w:rsid w:val="00B1229D"/>
    <w:rsid w:val="00B23EE6"/>
    <w:rsid w:val="00B2483E"/>
    <w:rsid w:val="00B256B5"/>
    <w:rsid w:val="00B27C78"/>
    <w:rsid w:val="00B31125"/>
    <w:rsid w:val="00B33D65"/>
    <w:rsid w:val="00B41D07"/>
    <w:rsid w:val="00B4317D"/>
    <w:rsid w:val="00B46361"/>
    <w:rsid w:val="00B4759A"/>
    <w:rsid w:val="00B5316E"/>
    <w:rsid w:val="00B55087"/>
    <w:rsid w:val="00B62097"/>
    <w:rsid w:val="00B64272"/>
    <w:rsid w:val="00B64531"/>
    <w:rsid w:val="00B74D4F"/>
    <w:rsid w:val="00B8155C"/>
    <w:rsid w:val="00B86283"/>
    <w:rsid w:val="00B91B63"/>
    <w:rsid w:val="00B932A7"/>
    <w:rsid w:val="00B94529"/>
    <w:rsid w:val="00B95BAE"/>
    <w:rsid w:val="00BA094F"/>
    <w:rsid w:val="00BA73FE"/>
    <w:rsid w:val="00BB24A2"/>
    <w:rsid w:val="00BB24C9"/>
    <w:rsid w:val="00BB3138"/>
    <w:rsid w:val="00BB73BD"/>
    <w:rsid w:val="00BC12AE"/>
    <w:rsid w:val="00BC67B9"/>
    <w:rsid w:val="00BD53E1"/>
    <w:rsid w:val="00BE05A5"/>
    <w:rsid w:val="00BE0EBD"/>
    <w:rsid w:val="00BF14FA"/>
    <w:rsid w:val="00BF1ED7"/>
    <w:rsid w:val="00BF28C6"/>
    <w:rsid w:val="00C05457"/>
    <w:rsid w:val="00C06703"/>
    <w:rsid w:val="00C07327"/>
    <w:rsid w:val="00C1252C"/>
    <w:rsid w:val="00C13257"/>
    <w:rsid w:val="00C167D5"/>
    <w:rsid w:val="00C17586"/>
    <w:rsid w:val="00C21EE3"/>
    <w:rsid w:val="00C22048"/>
    <w:rsid w:val="00C22070"/>
    <w:rsid w:val="00C22962"/>
    <w:rsid w:val="00C24BE2"/>
    <w:rsid w:val="00C25152"/>
    <w:rsid w:val="00C2672F"/>
    <w:rsid w:val="00C32CEF"/>
    <w:rsid w:val="00C331BA"/>
    <w:rsid w:val="00C33356"/>
    <w:rsid w:val="00C333F7"/>
    <w:rsid w:val="00C41621"/>
    <w:rsid w:val="00C424EA"/>
    <w:rsid w:val="00C427DF"/>
    <w:rsid w:val="00C43438"/>
    <w:rsid w:val="00C442BE"/>
    <w:rsid w:val="00C54F6A"/>
    <w:rsid w:val="00C63A0D"/>
    <w:rsid w:val="00C65F60"/>
    <w:rsid w:val="00C668EB"/>
    <w:rsid w:val="00C75AB2"/>
    <w:rsid w:val="00C83128"/>
    <w:rsid w:val="00C834F9"/>
    <w:rsid w:val="00C843AC"/>
    <w:rsid w:val="00C84540"/>
    <w:rsid w:val="00C8748C"/>
    <w:rsid w:val="00C979C0"/>
    <w:rsid w:val="00CA4E1A"/>
    <w:rsid w:val="00CA5A78"/>
    <w:rsid w:val="00CA5C99"/>
    <w:rsid w:val="00CC39F0"/>
    <w:rsid w:val="00CC513A"/>
    <w:rsid w:val="00CC797E"/>
    <w:rsid w:val="00CD6174"/>
    <w:rsid w:val="00CD6D88"/>
    <w:rsid w:val="00CE38E3"/>
    <w:rsid w:val="00CE3F3A"/>
    <w:rsid w:val="00CE57C8"/>
    <w:rsid w:val="00CE5C9C"/>
    <w:rsid w:val="00CE7C3B"/>
    <w:rsid w:val="00D01632"/>
    <w:rsid w:val="00D024D9"/>
    <w:rsid w:val="00D02ED9"/>
    <w:rsid w:val="00D0311C"/>
    <w:rsid w:val="00D1043D"/>
    <w:rsid w:val="00D10B90"/>
    <w:rsid w:val="00D10EEF"/>
    <w:rsid w:val="00D119C3"/>
    <w:rsid w:val="00D21DC4"/>
    <w:rsid w:val="00D25CDB"/>
    <w:rsid w:val="00D260D1"/>
    <w:rsid w:val="00D37213"/>
    <w:rsid w:val="00D37CB0"/>
    <w:rsid w:val="00D50250"/>
    <w:rsid w:val="00D575CA"/>
    <w:rsid w:val="00D60658"/>
    <w:rsid w:val="00D66FB8"/>
    <w:rsid w:val="00D72569"/>
    <w:rsid w:val="00D745F5"/>
    <w:rsid w:val="00D77C93"/>
    <w:rsid w:val="00D82F3D"/>
    <w:rsid w:val="00D85C8C"/>
    <w:rsid w:val="00D92022"/>
    <w:rsid w:val="00D92EC2"/>
    <w:rsid w:val="00D94CE5"/>
    <w:rsid w:val="00D94F09"/>
    <w:rsid w:val="00D95EBF"/>
    <w:rsid w:val="00D967E2"/>
    <w:rsid w:val="00D97889"/>
    <w:rsid w:val="00D9788A"/>
    <w:rsid w:val="00DA2884"/>
    <w:rsid w:val="00DA2DD2"/>
    <w:rsid w:val="00DA7496"/>
    <w:rsid w:val="00DB3994"/>
    <w:rsid w:val="00DB5508"/>
    <w:rsid w:val="00DC3412"/>
    <w:rsid w:val="00DC376F"/>
    <w:rsid w:val="00DC4071"/>
    <w:rsid w:val="00DD2A0D"/>
    <w:rsid w:val="00DD36CD"/>
    <w:rsid w:val="00DE10C1"/>
    <w:rsid w:val="00DE5C8C"/>
    <w:rsid w:val="00DF270B"/>
    <w:rsid w:val="00DF36AC"/>
    <w:rsid w:val="00DF5997"/>
    <w:rsid w:val="00DF637D"/>
    <w:rsid w:val="00DF6D64"/>
    <w:rsid w:val="00E041E4"/>
    <w:rsid w:val="00E128BD"/>
    <w:rsid w:val="00E171CE"/>
    <w:rsid w:val="00E1754C"/>
    <w:rsid w:val="00E2099B"/>
    <w:rsid w:val="00E21D57"/>
    <w:rsid w:val="00E2631D"/>
    <w:rsid w:val="00E27912"/>
    <w:rsid w:val="00E327E3"/>
    <w:rsid w:val="00E33AA2"/>
    <w:rsid w:val="00E3431A"/>
    <w:rsid w:val="00E44BB9"/>
    <w:rsid w:val="00E47420"/>
    <w:rsid w:val="00E51BA0"/>
    <w:rsid w:val="00E52190"/>
    <w:rsid w:val="00E56A1B"/>
    <w:rsid w:val="00E57417"/>
    <w:rsid w:val="00E63BC3"/>
    <w:rsid w:val="00E63DE2"/>
    <w:rsid w:val="00E66E08"/>
    <w:rsid w:val="00E72BB5"/>
    <w:rsid w:val="00E72D8E"/>
    <w:rsid w:val="00E7635F"/>
    <w:rsid w:val="00E81DBF"/>
    <w:rsid w:val="00E8292C"/>
    <w:rsid w:val="00E8471F"/>
    <w:rsid w:val="00E91F09"/>
    <w:rsid w:val="00E927FC"/>
    <w:rsid w:val="00E936B8"/>
    <w:rsid w:val="00E967EB"/>
    <w:rsid w:val="00EA1977"/>
    <w:rsid w:val="00EA410B"/>
    <w:rsid w:val="00EA50D9"/>
    <w:rsid w:val="00EB06CE"/>
    <w:rsid w:val="00EB4632"/>
    <w:rsid w:val="00EB4A19"/>
    <w:rsid w:val="00EB6E2E"/>
    <w:rsid w:val="00EC09AC"/>
    <w:rsid w:val="00EC1320"/>
    <w:rsid w:val="00ED5843"/>
    <w:rsid w:val="00EE5DB0"/>
    <w:rsid w:val="00EE73B3"/>
    <w:rsid w:val="00EF4373"/>
    <w:rsid w:val="00EF4501"/>
    <w:rsid w:val="00EF740E"/>
    <w:rsid w:val="00F04DCF"/>
    <w:rsid w:val="00F10C10"/>
    <w:rsid w:val="00F174AB"/>
    <w:rsid w:val="00F23093"/>
    <w:rsid w:val="00F23EDC"/>
    <w:rsid w:val="00F248AD"/>
    <w:rsid w:val="00F30444"/>
    <w:rsid w:val="00F315C0"/>
    <w:rsid w:val="00F35FAE"/>
    <w:rsid w:val="00F361BB"/>
    <w:rsid w:val="00F554BA"/>
    <w:rsid w:val="00F55627"/>
    <w:rsid w:val="00F56EB8"/>
    <w:rsid w:val="00F62691"/>
    <w:rsid w:val="00F73C28"/>
    <w:rsid w:val="00F74AFB"/>
    <w:rsid w:val="00F82E3A"/>
    <w:rsid w:val="00F86610"/>
    <w:rsid w:val="00F90859"/>
    <w:rsid w:val="00F9169E"/>
    <w:rsid w:val="00FA6051"/>
    <w:rsid w:val="00FB0EAC"/>
    <w:rsid w:val="00FC20FB"/>
    <w:rsid w:val="00FC5EE6"/>
    <w:rsid w:val="00FC6563"/>
    <w:rsid w:val="00FC7686"/>
    <w:rsid w:val="00FD25D7"/>
    <w:rsid w:val="00FD66DC"/>
    <w:rsid w:val="00FF1B87"/>
    <w:rsid w:val="00FF226A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320BC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F304-DFD9-445F-96F0-4E70F510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763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Guevara Scott Monica</cp:lastModifiedBy>
  <cp:revision>207</cp:revision>
  <cp:lastPrinted>2019-03-27T17:13:00Z</cp:lastPrinted>
  <dcterms:created xsi:type="dcterms:W3CDTF">2019-03-11T09:37:00Z</dcterms:created>
  <dcterms:modified xsi:type="dcterms:W3CDTF">2019-03-27T17:42:00Z</dcterms:modified>
</cp:coreProperties>
</file>