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2B10" w14:textId="01218B38" w:rsidR="00036D29" w:rsidRPr="00E66DC4" w:rsidRDefault="00051E40" w:rsidP="00036D29">
      <w:pPr>
        <w:ind w:left="0"/>
        <w:rPr>
          <w:b/>
          <w:sz w:val="28"/>
        </w:rPr>
      </w:pPr>
      <w:r w:rsidRPr="00E66DC4">
        <w:rPr>
          <w:b/>
          <w:sz w:val="28"/>
        </w:rPr>
        <w:t>Días de Expertos</w:t>
      </w:r>
      <w:r w:rsidR="00036D29" w:rsidRPr="00E66DC4">
        <w:rPr>
          <w:b/>
          <w:sz w:val="28"/>
        </w:rPr>
        <w:t xml:space="preserve"> en el sector alimentario</w:t>
      </w:r>
    </w:p>
    <w:p w14:paraId="1FC33AF7" w14:textId="77777777" w:rsidR="00036D29" w:rsidRDefault="00036D29" w:rsidP="00036D29">
      <w:pPr>
        <w:ind w:left="0"/>
        <w:rPr>
          <w:rFonts w:asciiTheme="minorHAnsi" w:hAnsiTheme="minorHAnsi"/>
          <w:b/>
        </w:rPr>
      </w:pPr>
    </w:p>
    <w:p w14:paraId="41E5E445" w14:textId="5240FE8D" w:rsidR="00036D29" w:rsidRPr="00036D29" w:rsidRDefault="00036D29" w:rsidP="00036D29">
      <w:pPr>
        <w:ind w:left="0"/>
        <w:rPr>
          <w:sz w:val="22"/>
        </w:rPr>
      </w:pPr>
      <w:r w:rsidRPr="00036D29">
        <w:rPr>
          <w:sz w:val="22"/>
        </w:rPr>
        <w:t xml:space="preserve">TGW presenta el futuro de la </w:t>
      </w:r>
      <w:r w:rsidR="00273F4D">
        <w:rPr>
          <w:sz w:val="22"/>
        </w:rPr>
        <w:t>I</w:t>
      </w:r>
      <w:r w:rsidRPr="00036D29">
        <w:rPr>
          <w:sz w:val="22"/>
        </w:rPr>
        <w:t>ntralogistica en el sector de alimentación y venta al detal</w:t>
      </w:r>
    </w:p>
    <w:p w14:paraId="2B7314A4" w14:textId="018E4D70" w:rsidR="00036D29" w:rsidRPr="00036D29" w:rsidRDefault="00036D29" w:rsidP="00051E40">
      <w:pPr>
        <w:pStyle w:val="Listenabsatz"/>
        <w:numPr>
          <w:ilvl w:val="0"/>
          <w:numId w:val="9"/>
        </w:numPr>
        <w:spacing w:after="200" w:line="240" w:lineRule="auto"/>
        <w:ind w:left="714" w:hanging="357"/>
        <w:rPr>
          <w:sz w:val="22"/>
        </w:rPr>
      </w:pPr>
      <w:r w:rsidRPr="00036D29">
        <w:rPr>
          <w:sz w:val="22"/>
        </w:rPr>
        <w:t>Lideres europeos expertos</w:t>
      </w:r>
      <w:r w:rsidR="00273F4D">
        <w:rPr>
          <w:sz w:val="22"/>
        </w:rPr>
        <w:t xml:space="preserve"> en ventas al detal visitan el P</w:t>
      </w:r>
      <w:r w:rsidRPr="00036D29">
        <w:rPr>
          <w:sz w:val="22"/>
        </w:rPr>
        <w:t xml:space="preserve">arque </w:t>
      </w:r>
      <w:r w:rsidR="00273F4D">
        <w:rPr>
          <w:sz w:val="22"/>
        </w:rPr>
        <w:t>de Evolución</w:t>
      </w:r>
      <w:r w:rsidRPr="00036D29">
        <w:rPr>
          <w:sz w:val="22"/>
        </w:rPr>
        <w:t xml:space="preserve"> de TGW.</w:t>
      </w:r>
    </w:p>
    <w:p w14:paraId="78EBAECB" w14:textId="5812FBB2" w:rsidR="00036D29" w:rsidRPr="00036D29" w:rsidRDefault="00036D29" w:rsidP="00051E40">
      <w:pPr>
        <w:pStyle w:val="Listenabsatz"/>
        <w:numPr>
          <w:ilvl w:val="0"/>
          <w:numId w:val="9"/>
        </w:numPr>
        <w:spacing w:after="200" w:line="240" w:lineRule="auto"/>
        <w:ind w:left="714" w:hanging="357"/>
        <w:rPr>
          <w:sz w:val="22"/>
        </w:rPr>
      </w:pPr>
      <w:r w:rsidRPr="00036D29">
        <w:rPr>
          <w:sz w:val="22"/>
        </w:rPr>
        <w:t xml:space="preserve">Una vista </w:t>
      </w:r>
      <w:r w:rsidR="003B7C8B">
        <w:rPr>
          <w:sz w:val="22"/>
        </w:rPr>
        <w:t>a</w:t>
      </w:r>
      <w:r w:rsidRPr="00036D29">
        <w:rPr>
          <w:sz w:val="22"/>
        </w:rPr>
        <w:t xml:space="preserve"> la experiencia de compra y los Centros de Distribución del mañana</w:t>
      </w:r>
      <w:r w:rsidR="003B7C8B">
        <w:rPr>
          <w:sz w:val="22"/>
        </w:rPr>
        <w:t>.</w:t>
      </w:r>
    </w:p>
    <w:p w14:paraId="049D8C13" w14:textId="56122814" w:rsidR="00036D29" w:rsidRPr="00036D29" w:rsidRDefault="00036D29" w:rsidP="00051E40">
      <w:pPr>
        <w:pStyle w:val="Listenabsatz"/>
        <w:numPr>
          <w:ilvl w:val="0"/>
          <w:numId w:val="9"/>
        </w:numPr>
        <w:spacing w:after="200" w:line="240" w:lineRule="auto"/>
        <w:ind w:left="714" w:hanging="357"/>
        <w:rPr>
          <w:sz w:val="22"/>
        </w:rPr>
      </w:pPr>
      <w:r w:rsidRPr="00036D29">
        <w:rPr>
          <w:sz w:val="22"/>
        </w:rPr>
        <w:t>Enfocado en la robótica, digi</w:t>
      </w:r>
      <w:r w:rsidR="003B7C8B">
        <w:rPr>
          <w:sz w:val="22"/>
        </w:rPr>
        <w:t>talización, c</w:t>
      </w:r>
      <w:r w:rsidRPr="00036D29">
        <w:rPr>
          <w:sz w:val="22"/>
        </w:rPr>
        <w:t>omercio electrónic</w:t>
      </w:r>
      <w:r w:rsidR="003B7C8B">
        <w:rPr>
          <w:sz w:val="22"/>
        </w:rPr>
        <w:t xml:space="preserve">o, y la estrategía omnicanal. </w:t>
      </w:r>
    </w:p>
    <w:p w14:paraId="2B135ECA" w14:textId="77777777" w:rsidR="00036D29" w:rsidRPr="00036D29" w:rsidRDefault="00036D29" w:rsidP="00036D29">
      <w:pPr>
        <w:rPr>
          <w:sz w:val="22"/>
        </w:rPr>
      </w:pPr>
    </w:p>
    <w:p w14:paraId="21283377" w14:textId="51249793" w:rsidR="00036D29" w:rsidRPr="00036D29" w:rsidRDefault="00036D29" w:rsidP="004F423B">
      <w:pPr>
        <w:spacing w:line="240" w:lineRule="auto"/>
        <w:ind w:left="0"/>
        <w:rPr>
          <w:sz w:val="22"/>
        </w:rPr>
      </w:pPr>
      <w:r w:rsidRPr="00036D29">
        <w:rPr>
          <w:sz w:val="22"/>
        </w:rPr>
        <w:t>El 10 y 11 de octubre de 2018, más de 50 lideres internacionales expertos en la venta de a</w:t>
      </w:r>
      <w:r w:rsidR="003B7C8B">
        <w:rPr>
          <w:sz w:val="22"/>
        </w:rPr>
        <w:t>limentos al detal visitaron el P</w:t>
      </w:r>
      <w:r w:rsidRPr="00036D29">
        <w:rPr>
          <w:sz w:val="22"/>
        </w:rPr>
        <w:t xml:space="preserve">arque </w:t>
      </w:r>
      <w:r w:rsidR="003B7C8B">
        <w:rPr>
          <w:sz w:val="22"/>
        </w:rPr>
        <w:t>de Evolución</w:t>
      </w:r>
      <w:r w:rsidRPr="00036D29">
        <w:rPr>
          <w:sz w:val="22"/>
        </w:rPr>
        <w:t xml:space="preserve"> de TGW (TGW Evolution Park). Reunidos en las nueva sede de TGW, discutieron sobre el futuro de la intralogística en materia alimentaria, donde se les brindó una mirada al diseño de centros de distribución y el mundo a futuro de compras. El evento, que exhibio los actuales y futuros retos de la automat</w:t>
      </w:r>
      <w:r w:rsidR="003B7C8B">
        <w:rPr>
          <w:sz w:val="22"/>
        </w:rPr>
        <w:t>ización, se llevó</w:t>
      </w:r>
      <w:r w:rsidRPr="00036D29">
        <w:rPr>
          <w:sz w:val="22"/>
        </w:rPr>
        <w:t xml:space="preserve"> a cabo en la sala de exposición interactiva Helix de TGW, la cual tiene un espacio de 1,800 mt2.</w:t>
      </w:r>
    </w:p>
    <w:p w14:paraId="1E4B2C08" w14:textId="21762FE7" w:rsidR="00036D29" w:rsidRPr="00036D29" w:rsidRDefault="00E41206" w:rsidP="004F423B">
      <w:pPr>
        <w:spacing w:line="240" w:lineRule="auto"/>
        <w:ind w:left="0"/>
        <w:rPr>
          <w:sz w:val="22"/>
        </w:rPr>
      </w:pPr>
      <w:r>
        <w:rPr>
          <w:sz w:val="22"/>
        </w:rPr>
        <w:t>La digitalización y la robó</w:t>
      </w:r>
      <w:r w:rsidR="00036D29" w:rsidRPr="00036D29">
        <w:rPr>
          <w:sz w:val="22"/>
        </w:rPr>
        <w:t>tica estuvieron entre los principales temas p</w:t>
      </w:r>
      <w:r w:rsidR="00840452">
        <w:rPr>
          <w:sz w:val="22"/>
        </w:rPr>
        <w:t>resentados en el evento de TGW Días de Expertos en el Sector A</w:t>
      </w:r>
      <w:r w:rsidR="00036D29" w:rsidRPr="00036D29">
        <w:rPr>
          <w:sz w:val="22"/>
        </w:rPr>
        <w:t xml:space="preserve">limentario. Adicionalmente, ejemplos varios de las mejores practicas de proyectos exitosos de TGW fueron presentados durante el evento, como también soluciones innovadoras para tiendas, junto con un nuevo concepto para realizar el picking de frutas y vegetales. </w:t>
      </w:r>
    </w:p>
    <w:p w14:paraId="07DBA452" w14:textId="77777777" w:rsidR="00036D29" w:rsidRPr="00036D29" w:rsidRDefault="00036D29" w:rsidP="00036D29">
      <w:pPr>
        <w:ind w:left="0"/>
        <w:rPr>
          <w:sz w:val="22"/>
        </w:rPr>
      </w:pPr>
    </w:p>
    <w:p w14:paraId="44E4F38A" w14:textId="77777777" w:rsidR="00036D29" w:rsidRPr="00036D29" w:rsidRDefault="00036D29" w:rsidP="00036D29">
      <w:pPr>
        <w:ind w:left="0"/>
        <w:rPr>
          <w:b/>
          <w:sz w:val="22"/>
        </w:rPr>
      </w:pPr>
      <w:r w:rsidRPr="00036D29">
        <w:rPr>
          <w:b/>
          <w:sz w:val="22"/>
        </w:rPr>
        <w:t>Inteligencia Artificial y Big Data</w:t>
      </w:r>
    </w:p>
    <w:p w14:paraId="2DC09AD6" w14:textId="77777777" w:rsidR="00036D29" w:rsidRPr="00036D29" w:rsidRDefault="00036D29" w:rsidP="00036D29">
      <w:pPr>
        <w:ind w:left="0"/>
        <w:rPr>
          <w:sz w:val="22"/>
        </w:rPr>
      </w:pPr>
    </w:p>
    <w:p w14:paraId="1E5FDDA9" w14:textId="4CA6DD51" w:rsidR="00036D29" w:rsidRDefault="00036D29" w:rsidP="004F423B">
      <w:pPr>
        <w:spacing w:line="240" w:lineRule="auto"/>
        <w:ind w:left="0"/>
        <w:rPr>
          <w:sz w:val="22"/>
        </w:rPr>
      </w:pPr>
      <w:r w:rsidRPr="00036D29">
        <w:rPr>
          <w:sz w:val="22"/>
        </w:rPr>
        <w:t>Once presentadores internacionales cubrieron una amplia gama de temas. El famoso investigador en materia de in</w:t>
      </w:r>
      <w:r w:rsidR="00AE723E">
        <w:rPr>
          <w:sz w:val="22"/>
        </w:rPr>
        <w:t>n</w:t>
      </w:r>
      <w:r w:rsidRPr="00036D29">
        <w:rPr>
          <w:sz w:val="22"/>
        </w:rPr>
        <w:t xml:space="preserve">ovación, Peter Fisk, llevó a los asistentes en un viaje al futuro de la alimentación al detal. Michael Feindt, especialista en inteligencia artificial, se enfocó en la tecnología de big data y análisis predictivo, a la par que discutía los posibles usos de la digitalización. </w:t>
      </w:r>
    </w:p>
    <w:p w14:paraId="3885540D" w14:textId="77777777" w:rsidR="00DD489F" w:rsidRPr="00036D29" w:rsidRDefault="00DD489F" w:rsidP="004F423B">
      <w:pPr>
        <w:spacing w:line="240" w:lineRule="auto"/>
        <w:ind w:left="0"/>
        <w:rPr>
          <w:sz w:val="22"/>
        </w:rPr>
      </w:pPr>
    </w:p>
    <w:p w14:paraId="5EC75EC8" w14:textId="51FA05A8" w:rsidR="00036D29" w:rsidRDefault="00036D29" w:rsidP="004F423B">
      <w:pPr>
        <w:spacing w:line="240" w:lineRule="auto"/>
        <w:ind w:left="0"/>
        <w:rPr>
          <w:sz w:val="22"/>
        </w:rPr>
      </w:pPr>
      <w:r w:rsidRPr="00036D29">
        <w:rPr>
          <w:sz w:val="22"/>
        </w:rPr>
        <w:t>Las competencias de TGW se exhibieron, entre otras cosas, basandose en el ejemplo del centro de logí</w:t>
      </w:r>
      <w:r w:rsidR="00DD489F">
        <w:rPr>
          <w:sz w:val="22"/>
        </w:rPr>
        <w:t>stica diseñado por TGW para COOP en la ciudad S</w:t>
      </w:r>
      <w:r w:rsidRPr="00036D29">
        <w:rPr>
          <w:sz w:val="22"/>
        </w:rPr>
        <w:t>uiza Schafisheim. También, TGW y Umdasch introdujeron un nuevo concepto llamado Omistore que combina el proceso de compra online con el c</w:t>
      </w:r>
      <w:r w:rsidR="00DD489F">
        <w:rPr>
          <w:sz w:val="22"/>
        </w:rPr>
        <w:t>omercio estacionario de manera ú</w:t>
      </w:r>
      <w:r w:rsidRPr="00036D29">
        <w:rPr>
          <w:sz w:val="22"/>
        </w:rPr>
        <w:t xml:space="preserve">nica, a la vez que ofrece un valor agregado tangible a los detallistas como a los clientes de supermercados. </w:t>
      </w:r>
    </w:p>
    <w:p w14:paraId="7B8353D5" w14:textId="77777777" w:rsidR="00036D29" w:rsidRPr="00036D29" w:rsidRDefault="00036D29" w:rsidP="00036D29">
      <w:pPr>
        <w:ind w:left="0"/>
        <w:rPr>
          <w:sz w:val="22"/>
        </w:rPr>
      </w:pPr>
    </w:p>
    <w:p w14:paraId="218BF5F3" w14:textId="37AFFA58" w:rsidR="00036D29" w:rsidRDefault="003A6D96" w:rsidP="00036D29">
      <w:pPr>
        <w:spacing w:line="240" w:lineRule="auto"/>
        <w:ind w:left="0"/>
        <w:rPr>
          <w:sz w:val="22"/>
        </w:rPr>
      </w:pPr>
      <w:r>
        <w:rPr>
          <w:sz w:val="22"/>
        </w:rPr>
        <w:t>“TGW representa soluciones holísticas; h</w:t>
      </w:r>
      <w:r w:rsidR="00036D29" w:rsidRPr="004F423B">
        <w:rPr>
          <w:sz w:val="22"/>
        </w:rPr>
        <w:t>a pasado de s</w:t>
      </w:r>
      <w:r w:rsidR="00B00484">
        <w:rPr>
          <w:sz w:val="22"/>
        </w:rPr>
        <w:t>er un proveedor lider de mecatró</w:t>
      </w:r>
      <w:r w:rsidR="00036D29" w:rsidRPr="004F423B">
        <w:rPr>
          <w:sz w:val="22"/>
        </w:rPr>
        <w:t xml:space="preserve">nica a establecerse en los mercados principales como un proveedor de sistemas orientado y con visión  a futuro, y los días de expertos en materia alimentaria al detal, claramente lo recalcan“, comenta Christoph Wolkerstorfer, CSO del TGW Logistics Group. </w:t>
      </w:r>
    </w:p>
    <w:p w14:paraId="6BF2A336" w14:textId="7D1B432C" w:rsidR="004F423B" w:rsidRDefault="004F423B" w:rsidP="00036D29">
      <w:pPr>
        <w:spacing w:line="240" w:lineRule="auto"/>
        <w:ind w:left="0"/>
        <w:rPr>
          <w:sz w:val="22"/>
        </w:rPr>
      </w:pPr>
    </w:p>
    <w:p w14:paraId="19ECEED1" w14:textId="77777777" w:rsidR="004F423B" w:rsidRPr="004F423B" w:rsidRDefault="004F423B" w:rsidP="00036D29">
      <w:pPr>
        <w:spacing w:line="240" w:lineRule="auto"/>
        <w:ind w:left="0"/>
        <w:rPr>
          <w:sz w:val="22"/>
        </w:rPr>
      </w:pPr>
    </w:p>
    <w:p w14:paraId="086ADE31" w14:textId="66149862" w:rsidR="00FC0E20" w:rsidRPr="004F423B" w:rsidRDefault="00FC0E20" w:rsidP="00E20D35">
      <w:pPr>
        <w:spacing w:line="360" w:lineRule="auto"/>
        <w:ind w:left="0" w:right="1843"/>
        <w:jc w:val="left"/>
        <w:rPr>
          <w:rFonts w:cs="Arial"/>
          <w:b/>
          <w:sz w:val="22"/>
        </w:rPr>
      </w:pPr>
    </w:p>
    <w:p w14:paraId="6014F140" w14:textId="492CC7A0" w:rsidR="004F423B" w:rsidRPr="004F423B" w:rsidRDefault="004F423B" w:rsidP="004F423B">
      <w:pPr>
        <w:spacing w:line="240" w:lineRule="auto"/>
        <w:ind w:left="0"/>
        <w:rPr>
          <w:rFonts w:asciiTheme="minorHAnsi" w:hAnsiTheme="minorHAnsi"/>
          <w:b/>
          <w:sz w:val="22"/>
        </w:rPr>
      </w:pPr>
      <w:r w:rsidRPr="004F423B">
        <w:rPr>
          <w:b/>
          <w:sz w:val="22"/>
        </w:rPr>
        <w:t>TGW e</w:t>
      </w:r>
      <w:r w:rsidR="00B00484">
        <w:rPr>
          <w:b/>
          <w:sz w:val="22"/>
        </w:rPr>
        <w:t>xplora nuevos caminos en la robó</w:t>
      </w:r>
      <w:r w:rsidRPr="004F423B">
        <w:rPr>
          <w:b/>
          <w:sz w:val="22"/>
        </w:rPr>
        <w:t>tica</w:t>
      </w:r>
    </w:p>
    <w:p w14:paraId="1E780FA0" w14:textId="77777777" w:rsidR="004F423B" w:rsidRPr="004F423B" w:rsidRDefault="004F423B" w:rsidP="004F423B">
      <w:pPr>
        <w:spacing w:line="240" w:lineRule="auto"/>
        <w:ind w:left="0"/>
        <w:rPr>
          <w:sz w:val="22"/>
        </w:rPr>
      </w:pPr>
    </w:p>
    <w:p w14:paraId="7EFC2BC3" w14:textId="18CD33CE" w:rsidR="004F423B" w:rsidRPr="004F423B" w:rsidRDefault="004F423B" w:rsidP="004F423B">
      <w:pPr>
        <w:spacing w:line="240" w:lineRule="auto"/>
        <w:ind w:left="0"/>
        <w:rPr>
          <w:sz w:val="22"/>
        </w:rPr>
      </w:pPr>
      <w:r w:rsidRPr="00136215">
        <w:rPr>
          <w:sz w:val="22"/>
        </w:rPr>
        <w:t>Uno de los objetivos principales del evento era brindar una mirada a las posi</w:t>
      </w:r>
      <w:r w:rsidR="00B00484" w:rsidRPr="00136215">
        <w:rPr>
          <w:sz w:val="22"/>
        </w:rPr>
        <w:t>bilidades que en materia de robó</w:t>
      </w:r>
      <w:r w:rsidR="0079156E">
        <w:rPr>
          <w:sz w:val="22"/>
        </w:rPr>
        <w:t>tica se inician</w:t>
      </w:r>
      <w:r w:rsidRPr="00136215">
        <w:rPr>
          <w:sz w:val="22"/>
        </w:rPr>
        <w:t xml:space="preserve"> en el campo de la automatización. Adicionalmente a las aplicaciones para el paletizado mixto, </w:t>
      </w:r>
      <w:r w:rsidR="00136215" w:rsidRPr="00136215">
        <w:rPr>
          <w:sz w:val="22"/>
        </w:rPr>
        <w:t xml:space="preserve">PickCenter </w:t>
      </w:r>
      <w:r w:rsidRPr="00136215">
        <w:rPr>
          <w:sz w:val="22"/>
        </w:rPr>
        <w:t xml:space="preserve">Rovolution </w:t>
      </w:r>
      <w:r w:rsidR="00136215">
        <w:rPr>
          <w:sz w:val="22"/>
        </w:rPr>
        <w:t xml:space="preserve"> - la estación de trabajo de picking de unidades totalmente automatizado, </w:t>
      </w:r>
      <w:r w:rsidRPr="00136215">
        <w:rPr>
          <w:sz w:val="22"/>
        </w:rPr>
        <w:t>fue exhibido como</w:t>
      </w:r>
      <w:r w:rsidR="00136215" w:rsidRPr="00136215">
        <w:rPr>
          <w:sz w:val="22"/>
        </w:rPr>
        <w:t xml:space="preserve"> el más reciente modulo de FlashPick </w:t>
      </w:r>
      <w:r w:rsidR="00136215" w:rsidRPr="00136215">
        <w:rPr>
          <w:rFonts w:cs="Arial"/>
          <w:sz w:val="22"/>
        </w:rPr>
        <w:t>®</w:t>
      </w:r>
      <w:r w:rsidRPr="00136215">
        <w:rPr>
          <w:sz w:val="22"/>
        </w:rPr>
        <w:t>. La ventaja sobresaliente del sistema recae en el hecho que Rovolution es fuerte, rapido y muy flexible</w:t>
      </w:r>
      <w:r w:rsidRPr="004F423B">
        <w:rPr>
          <w:sz w:val="22"/>
        </w:rPr>
        <w:t xml:space="preserve">. </w:t>
      </w:r>
    </w:p>
    <w:p w14:paraId="2B27D259" w14:textId="77777777" w:rsidR="004F423B" w:rsidRDefault="004F423B" w:rsidP="004F423B">
      <w:pPr>
        <w:spacing w:line="240" w:lineRule="auto"/>
      </w:pPr>
    </w:p>
    <w:p w14:paraId="576CA64B" w14:textId="77777777" w:rsidR="004F423B" w:rsidRDefault="004F423B" w:rsidP="004F423B">
      <w:pPr>
        <w:spacing w:line="240" w:lineRule="auto"/>
      </w:pPr>
    </w:p>
    <w:p w14:paraId="7E347CD5" w14:textId="34EF6C9D" w:rsidR="004F423B" w:rsidRPr="004F423B" w:rsidRDefault="004F423B" w:rsidP="004F423B">
      <w:pPr>
        <w:spacing w:line="240" w:lineRule="auto"/>
        <w:ind w:left="0"/>
        <w:rPr>
          <w:sz w:val="22"/>
        </w:rPr>
      </w:pPr>
      <w:r w:rsidRPr="004F423B">
        <w:rPr>
          <w:sz w:val="22"/>
        </w:rPr>
        <w:t xml:space="preserve">Los asistentes al evento Días de expertos en materia de alimentación al detal tambien tuvieron la oportunidad de recibir algunos tours guiados dentro de las instalaciones de la nueva sede de la empresa, el Parque de Evolución de TGW, como también la nueva sala de exhibición de TGW Helix. Christoph Wolkerstorfer relexionó sobre el evento, comentando “la retroalimentación de los visitantes comprobó que estamos </w:t>
      </w:r>
      <w:r w:rsidR="00C65899">
        <w:rPr>
          <w:sz w:val="22"/>
        </w:rPr>
        <w:t xml:space="preserve">siendo exitosos al </w:t>
      </w:r>
      <w:r w:rsidRPr="004F423B">
        <w:rPr>
          <w:sz w:val="22"/>
        </w:rPr>
        <w:t xml:space="preserve">afrontar los retos de la industria, como tambien ser capaces de ofertar soluciones mercadeables y orientadas al futuro. </w:t>
      </w:r>
    </w:p>
    <w:p w14:paraId="3EA605AB" w14:textId="77777777" w:rsidR="004F423B" w:rsidRDefault="004F423B" w:rsidP="004F423B">
      <w:pPr>
        <w:spacing w:line="240" w:lineRule="auto"/>
        <w:ind w:left="0"/>
      </w:pPr>
    </w:p>
    <w:p w14:paraId="02344891" w14:textId="6E9C4AB2" w:rsidR="004F423B" w:rsidRDefault="00E66DC4" w:rsidP="004F423B">
      <w:pPr>
        <w:ind w:left="0"/>
        <w:rPr>
          <w:lang w:val="en-US"/>
        </w:rPr>
      </w:pPr>
      <w:hyperlink r:id="rId8" w:history="1">
        <w:r w:rsidR="004F423B" w:rsidRPr="005D3226">
          <w:rPr>
            <w:rStyle w:val="Hyperlink"/>
            <w:lang w:val="en-US"/>
          </w:rPr>
          <w:t>www.tgw-group.com</w:t>
        </w:r>
      </w:hyperlink>
    </w:p>
    <w:p w14:paraId="77E4103A" w14:textId="77777777" w:rsidR="004F423B" w:rsidRDefault="004F423B" w:rsidP="004F423B">
      <w:pPr>
        <w:ind w:left="0"/>
        <w:rPr>
          <w:lang w:val="en-US"/>
        </w:rPr>
      </w:pPr>
    </w:p>
    <w:p w14:paraId="2AD0952E" w14:textId="14D736F1" w:rsidR="004F423B" w:rsidRPr="004F423B" w:rsidRDefault="004F423B" w:rsidP="004F423B">
      <w:pPr>
        <w:ind w:left="0"/>
        <w:rPr>
          <w:sz w:val="22"/>
          <w:lang w:val="en-US"/>
        </w:rPr>
      </w:pPr>
      <w:r w:rsidRPr="004F423B">
        <w:rPr>
          <w:sz w:val="22"/>
          <w:lang w:val="en-US"/>
        </w:rPr>
        <w:t xml:space="preserve">Sobre TGW Logistics: </w:t>
      </w:r>
    </w:p>
    <w:p w14:paraId="1F638941" w14:textId="77777777" w:rsidR="004F423B" w:rsidRPr="004F423B" w:rsidRDefault="004F423B" w:rsidP="004F423B">
      <w:pPr>
        <w:ind w:left="0"/>
        <w:rPr>
          <w:sz w:val="22"/>
          <w:lang w:val="en-US"/>
        </w:rPr>
      </w:pPr>
    </w:p>
    <w:p w14:paraId="1EF7C987" w14:textId="5C89AB99" w:rsidR="004F423B" w:rsidRDefault="004F423B" w:rsidP="004F423B">
      <w:pPr>
        <w:spacing w:line="240" w:lineRule="auto"/>
        <w:ind w:left="0"/>
        <w:rPr>
          <w:sz w:val="22"/>
        </w:rPr>
      </w:pPr>
      <w:r w:rsidRPr="004F423B">
        <w:rPr>
          <w:sz w:val="22"/>
        </w:rPr>
        <w:t>El Grupo TGW es un proveedor líder a nivel global de soluciones intralogísticas. Por casi 50 años, este especialista Austriaco ha suministrado sistemas automatizados para clientes internacionales – desde la A como en Adidas a la Z como en Zalando. Como integrador de sistemas, TGW suministra planning, producción y realización de centros logisti</w:t>
      </w:r>
      <w:r w:rsidR="00AE497B">
        <w:rPr>
          <w:sz w:val="22"/>
        </w:rPr>
        <w:t>cos complejos – desde la mecatrónica y robó</w:t>
      </w:r>
      <w:r w:rsidRPr="004F423B">
        <w:rPr>
          <w:sz w:val="22"/>
        </w:rPr>
        <w:t xml:space="preserve">tica al software y control de sistemas.  </w:t>
      </w:r>
    </w:p>
    <w:p w14:paraId="7C6D7B1A" w14:textId="77777777" w:rsidR="004F423B" w:rsidRPr="004F423B" w:rsidRDefault="004F423B" w:rsidP="004F423B">
      <w:pPr>
        <w:ind w:left="0"/>
        <w:rPr>
          <w:sz w:val="22"/>
          <w:lang w:val="es-ES"/>
        </w:rPr>
      </w:pPr>
    </w:p>
    <w:p w14:paraId="22FAF2EC" w14:textId="77777777" w:rsidR="004F423B" w:rsidRPr="004F423B" w:rsidRDefault="004F423B" w:rsidP="004F423B">
      <w:pPr>
        <w:spacing w:line="240" w:lineRule="auto"/>
        <w:ind w:left="0"/>
        <w:rPr>
          <w:sz w:val="22"/>
        </w:rPr>
      </w:pPr>
      <w:r w:rsidRPr="004F423B">
        <w:rPr>
          <w:sz w:val="22"/>
        </w:rPr>
        <w:t>Con aproxidamente 3,300 empleados, el grupo tiene oficinas en Europa, China, y Estados Unidos de América. Durante el año comercial 2017/2018, la compañía alcanzó ingresos de ventas de 713 millones de euros.</w:t>
      </w:r>
    </w:p>
    <w:p w14:paraId="1AD63BA8" w14:textId="522BC6B0" w:rsidR="00BE2683" w:rsidRDefault="00BE2683" w:rsidP="008872D9">
      <w:pPr>
        <w:ind w:left="0"/>
      </w:pPr>
    </w:p>
    <w:p w14:paraId="747220BB" w14:textId="6ED83E0B" w:rsidR="00E66DC4" w:rsidRDefault="00E66DC4" w:rsidP="008872D9">
      <w:pPr>
        <w:ind w:left="0"/>
      </w:pPr>
    </w:p>
    <w:p w14:paraId="78D12228" w14:textId="77777777" w:rsidR="00E66DC4" w:rsidRDefault="00E66DC4" w:rsidP="008872D9">
      <w:pPr>
        <w:ind w:left="0"/>
      </w:pPr>
    </w:p>
    <w:p w14:paraId="4F47D3EB" w14:textId="3C07978B" w:rsidR="008872D9" w:rsidRPr="00E66DC4" w:rsidRDefault="008872D9" w:rsidP="008872D9">
      <w:pPr>
        <w:ind w:left="0"/>
        <w:rPr>
          <w:b/>
          <w:lang w:val="es-ES"/>
        </w:rPr>
      </w:pPr>
      <w:r w:rsidRPr="00E66DC4">
        <w:rPr>
          <w:b/>
          <w:lang w:val="es-ES"/>
        </w:rPr>
        <w:t xml:space="preserve">Contacto: </w:t>
      </w:r>
    </w:p>
    <w:p w14:paraId="0A4D9554" w14:textId="77777777" w:rsidR="008872D9" w:rsidRPr="004F423B" w:rsidRDefault="008872D9" w:rsidP="008872D9">
      <w:pPr>
        <w:ind w:left="0"/>
        <w:rPr>
          <w:lang w:val="es-ES"/>
        </w:rPr>
      </w:pPr>
      <w:bookmarkStart w:id="0" w:name="_GoBack"/>
      <w:bookmarkEnd w:id="0"/>
    </w:p>
    <w:p w14:paraId="36BB0F0D" w14:textId="69A73BCE" w:rsidR="008872D9" w:rsidRDefault="008872D9" w:rsidP="008872D9">
      <w:pPr>
        <w:ind w:left="0"/>
        <w:rPr>
          <w:lang w:val="en-US"/>
        </w:rPr>
      </w:pPr>
      <w:r>
        <w:rPr>
          <w:lang w:val="en-US"/>
        </w:rPr>
        <w:t>Martin Kirchmayr</w:t>
      </w:r>
    </w:p>
    <w:p w14:paraId="4FAE40C6" w14:textId="23A994A1" w:rsidR="008872D9" w:rsidRDefault="008872D9" w:rsidP="008872D9">
      <w:pPr>
        <w:ind w:left="0"/>
        <w:rPr>
          <w:lang w:val="en-US"/>
        </w:rPr>
      </w:pPr>
      <w:r>
        <w:rPr>
          <w:lang w:val="en-US"/>
        </w:rPr>
        <w:t>Marketing &amp; Communication Manager</w:t>
      </w:r>
    </w:p>
    <w:p w14:paraId="3BB7A288" w14:textId="330EBE2C" w:rsidR="008872D9" w:rsidRDefault="008872D9" w:rsidP="008872D9">
      <w:pPr>
        <w:ind w:left="0"/>
        <w:rPr>
          <w:lang w:val="en-US"/>
        </w:rPr>
      </w:pPr>
      <w:r>
        <w:rPr>
          <w:lang w:val="en-US"/>
        </w:rPr>
        <w:t>T: +43</w:t>
      </w:r>
      <w:r w:rsidR="00F614E0">
        <w:rPr>
          <w:lang w:val="en-US"/>
        </w:rPr>
        <w:t xml:space="preserve"> (0).50.486-1382</w:t>
      </w:r>
    </w:p>
    <w:p w14:paraId="57A2720E" w14:textId="615F639C" w:rsidR="00F614E0" w:rsidRDefault="00F614E0" w:rsidP="008872D9">
      <w:pPr>
        <w:ind w:left="0"/>
        <w:rPr>
          <w:lang w:val="en-US"/>
        </w:rPr>
      </w:pPr>
      <w:r>
        <w:rPr>
          <w:lang w:val="en-US"/>
        </w:rPr>
        <w:t>M: +43(0).664.8187423</w:t>
      </w:r>
    </w:p>
    <w:p w14:paraId="237D3EED" w14:textId="04525AF5" w:rsidR="00F614E0" w:rsidRDefault="00F614E0" w:rsidP="008872D9">
      <w:pPr>
        <w:ind w:left="0"/>
        <w:rPr>
          <w:lang w:val="en-US"/>
        </w:rPr>
      </w:pPr>
      <w:r>
        <w:rPr>
          <w:lang w:val="en-US"/>
        </w:rPr>
        <w:t>Martin.Kirchmayr@tgw-group.com</w:t>
      </w:r>
    </w:p>
    <w:p w14:paraId="1B485E61" w14:textId="77777777" w:rsidR="008872D9" w:rsidRDefault="008872D9" w:rsidP="008872D9">
      <w:pPr>
        <w:ind w:left="0"/>
        <w:rPr>
          <w:lang w:val="en-US"/>
        </w:rPr>
      </w:pPr>
    </w:p>
    <w:p w14:paraId="1199AD93" w14:textId="059409CB" w:rsidR="008872D9" w:rsidRPr="00E72146" w:rsidRDefault="008872D9" w:rsidP="008872D9">
      <w:pPr>
        <w:ind w:left="0"/>
        <w:rPr>
          <w:lang w:val="en-US"/>
        </w:rPr>
      </w:pPr>
      <w:r>
        <w:rPr>
          <w:lang w:val="en-US"/>
        </w:rPr>
        <w:t>A</w:t>
      </w:r>
      <w:r w:rsidRPr="00E72146">
        <w:rPr>
          <w:lang w:val="en-US"/>
        </w:rPr>
        <w:t>lexander Tahedl</w:t>
      </w:r>
    </w:p>
    <w:p w14:paraId="4FA493A7" w14:textId="77777777" w:rsidR="008872D9" w:rsidRPr="00E72146" w:rsidRDefault="008872D9" w:rsidP="008872D9">
      <w:pPr>
        <w:ind w:left="0"/>
        <w:rPr>
          <w:lang w:val="en-US"/>
        </w:rPr>
      </w:pPr>
      <w:r w:rsidRPr="00E72146">
        <w:rPr>
          <w:lang w:val="en-US"/>
        </w:rPr>
        <w:t>Marketing Specialist</w:t>
      </w:r>
    </w:p>
    <w:p w14:paraId="77C150CC" w14:textId="77777777" w:rsidR="008872D9" w:rsidRPr="00E72146" w:rsidRDefault="008872D9" w:rsidP="008872D9">
      <w:pPr>
        <w:ind w:left="0"/>
        <w:rPr>
          <w:lang w:val="en-US"/>
        </w:rPr>
      </w:pPr>
      <w:r w:rsidRPr="00E72146">
        <w:rPr>
          <w:lang w:val="en-US"/>
        </w:rPr>
        <w:t>T: +43 (0)50.486-2267</w:t>
      </w:r>
    </w:p>
    <w:p w14:paraId="1D5B328C" w14:textId="4E4587DD" w:rsidR="00835318" w:rsidRPr="00835318" w:rsidRDefault="008872D9" w:rsidP="008872D9">
      <w:pPr>
        <w:spacing w:line="360" w:lineRule="auto"/>
        <w:ind w:left="0" w:right="1843"/>
        <w:jc w:val="left"/>
        <w:rPr>
          <w:sz w:val="22"/>
          <w:lang w:val="es-ES"/>
        </w:rPr>
      </w:pPr>
      <w:r w:rsidRPr="002839F0">
        <w:rPr>
          <w:lang w:val="es-ES"/>
        </w:rPr>
        <w:t xml:space="preserve">Alexander.tahedl@tgw-group.com </w:t>
      </w:r>
      <w:r w:rsidRPr="002839F0">
        <w:rPr>
          <w:rFonts w:asciiTheme="majorHAnsi" w:eastAsiaTheme="majorEastAsia" w:hAnsiTheme="majorHAnsi" w:cstheme="majorBidi"/>
          <w:b/>
          <w:bCs/>
          <w:color w:val="8F0312" w:themeColor="accent1" w:themeShade="BF"/>
          <w:sz w:val="28"/>
          <w:szCs w:val="28"/>
          <w:lang w:val="es-ES"/>
        </w:rPr>
        <w:t xml:space="preserve">     </w:t>
      </w:r>
    </w:p>
    <w:sectPr w:rsidR="00835318" w:rsidRPr="00835318" w:rsidSect="00E20D35">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0600" w14:textId="77777777" w:rsidR="003E392A" w:rsidRDefault="003E392A" w:rsidP="00764006">
      <w:pPr>
        <w:spacing w:line="240" w:lineRule="auto"/>
      </w:pPr>
      <w:r>
        <w:separator/>
      </w:r>
    </w:p>
  </w:endnote>
  <w:endnote w:type="continuationSeparator" w:id="0">
    <w:p w14:paraId="0BBE481B" w14:textId="77777777" w:rsidR="003E392A" w:rsidRDefault="003E392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382AF3C2"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66DC4">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E66DC4">
            <w:rPr>
              <w:noProof/>
              <w:sz w:val="16"/>
              <w:szCs w:val="16"/>
            </w:rPr>
            <w:t>2</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C81E" w14:textId="77777777" w:rsidR="003E392A" w:rsidRDefault="003E392A" w:rsidP="00764006">
      <w:pPr>
        <w:spacing w:line="240" w:lineRule="auto"/>
      </w:pPr>
      <w:r>
        <w:separator/>
      </w:r>
    </w:p>
  </w:footnote>
  <w:footnote w:type="continuationSeparator" w:id="0">
    <w:p w14:paraId="59BC8DF9" w14:textId="77777777" w:rsidR="003E392A" w:rsidRDefault="003E392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D82458"/>
    <w:multiLevelType w:val="hybridMultilevel"/>
    <w:tmpl w:val="DE68DB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2404E"/>
    <w:rsid w:val="00025238"/>
    <w:rsid w:val="000362EF"/>
    <w:rsid w:val="00036D29"/>
    <w:rsid w:val="00045F47"/>
    <w:rsid w:val="00051E40"/>
    <w:rsid w:val="00072975"/>
    <w:rsid w:val="0007681D"/>
    <w:rsid w:val="000B3869"/>
    <w:rsid w:val="000B65C7"/>
    <w:rsid w:val="000C38EE"/>
    <w:rsid w:val="000C4592"/>
    <w:rsid w:val="000C4F24"/>
    <w:rsid w:val="000E157B"/>
    <w:rsid w:val="000E33FB"/>
    <w:rsid w:val="000E4D3F"/>
    <w:rsid w:val="000E5E13"/>
    <w:rsid w:val="000F6C2E"/>
    <w:rsid w:val="00103B55"/>
    <w:rsid w:val="00106523"/>
    <w:rsid w:val="00114EE0"/>
    <w:rsid w:val="0012627D"/>
    <w:rsid w:val="00127EEF"/>
    <w:rsid w:val="00134CCE"/>
    <w:rsid w:val="00135042"/>
    <w:rsid w:val="00136215"/>
    <w:rsid w:val="00142599"/>
    <w:rsid w:val="00142D0C"/>
    <w:rsid w:val="00147C5F"/>
    <w:rsid w:val="00185FCF"/>
    <w:rsid w:val="00193CCF"/>
    <w:rsid w:val="001A43A4"/>
    <w:rsid w:val="001A6E46"/>
    <w:rsid w:val="001B0916"/>
    <w:rsid w:val="001B31BE"/>
    <w:rsid w:val="001C1838"/>
    <w:rsid w:val="001D3DA5"/>
    <w:rsid w:val="001D7887"/>
    <w:rsid w:val="001E6404"/>
    <w:rsid w:val="001F122D"/>
    <w:rsid w:val="001F2A46"/>
    <w:rsid w:val="00200E0B"/>
    <w:rsid w:val="00212244"/>
    <w:rsid w:val="00216A2C"/>
    <w:rsid w:val="002220F6"/>
    <w:rsid w:val="002251F3"/>
    <w:rsid w:val="00256109"/>
    <w:rsid w:val="00257927"/>
    <w:rsid w:val="00260754"/>
    <w:rsid w:val="002612C5"/>
    <w:rsid w:val="0026487A"/>
    <w:rsid w:val="00265358"/>
    <w:rsid w:val="00273328"/>
    <w:rsid w:val="002734FC"/>
    <w:rsid w:val="00273F4D"/>
    <w:rsid w:val="002820AB"/>
    <w:rsid w:val="002839F0"/>
    <w:rsid w:val="002A1224"/>
    <w:rsid w:val="002A3009"/>
    <w:rsid w:val="002A683E"/>
    <w:rsid w:val="002C13ED"/>
    <w:rsid w:val="002C345F"/>
    <w:rsid w:val="002C36E5"/>
    <w:rsid w:val="002C61F8"/>
    <w:rsid w:val="002C69C9"/>
    <w:rsid w:val="002D7195"/>
    <w:rsid w:val="002E317C"/>
    <w:rsid w:val="002F5DD8"/>
    <w:rsid w:val="00322F17"/>
    <w:rsid w:val="00325071"/>
    <w:rsid w:val="0032555B"/>
    <w:rsid w:val="00330DA9"/>
    <w:rsid w:val="00353A88"/>
    <w:rsid w:val="00360255"/>
    <w:rsid w:val="00360EEB"/>
    <w:rsid w:val="00366266"/>
    <w:rsid w:val="00367F43"/>
    <w:rsid w:val="00371C4E"/>
    <w:rsid w:val="00374811"/>
    <w:rsid w:val="00377F06"/>
    <w:rsid w:val="00384E4B"/>
    <w:rsid w:val="00387D59"/>
    <w:rsid w:val="003904E0"/>
    <w:rsid w:val="00390B54"/>
    <w:rsid w:val="003A1ED6"/>
    <w:rsid w:val="003A1F64"/>
    <w:rsid w:val="003A35D1"/>
    <w:rsid w:val="003A6D96"/>
    <w:rsid w:val="003B2F92"/>
    <w:rsid w:val="003B31E3"/>
    <w:rsid w:val="003B509C"/>
    <w:rsid w:val="003B5271"/>
    <w:rsid w:val="003B7C8B"/>
    <w:rsid w:val="003C3AA4"/>
    <w:rsid w:val="003E392A"/>
    <w:rsid w:val="003E6107"/>
    <w:rsid w:val="003F3E54"/>
    <w:rsid w:val="003F58AC"/>
    <w:rsid w:val="004022C2"/>
    <w:rsid w:val="00414041"/>
    <w:rsid w:val="00427466"/>
    <w:rsid w:val="0043387C"/>
    <w:rsid w:val="00444115"/>
    <w:rsid w:val="00451FDA"/>
    <w:rsid w:val="00453F03"/>
    <w:rsid w:val="00454CE6"/>
    <w:rsid w:val="00456A9F"/>
    <w:rsid w:val="004746BE"/>
    <w:rsid w:val="00475FF4"/>
    <w:rsid w:val="0047613B"/>
    <w:rsid w:val="004832B0"/>
    <w:rsid w:val="00483405"/>
    <w:rsid w:val="00484781"/>
    <w:rsid w:val="0049574E"/>
    <w:rsid w:val="004A444C"/>
    <w:rsid w:val="004D5A7D"/>
    <w:rsid w:val="004E2F7E"/>
    <w:rsid w:val="004E2F91"/>
    <w:rsid w:val="004F17A9"/>
    <w:rsid w:val="004F423B"/>
    <w:rsid w:val="005105A7"/>
    <w:rsid w:val="00523149"/>
    <w:rsid w:val="005436D2"/>
    <w:rsid w:val="00557222"/>
    <w:rsid w:val="00574451"/>
    <w:rsid w:val="00576375"/>
    <w:rsid w:val="00585363"/>
    <w:rsid w:val="005A1402"/>
    <w:rsid w:val="005A6393"/>
    <w:rsid w:val="005B0567"/>
    <w:rsid w:val="005B175C"/>
    <w:rsid w:val="005B4F11"/>
    <w:rsid w:val="005B6283"/>
    <w:rsid w:val="005C765B"/>
    <w:rsid w:val="005D71EC"/>
    <w:rsid w:val="005E1EC3"/>
    <w:rsid w:val="005E3DF7"/>
    <w:rsid w:val="005F1EA6"/>
    <w:rsid w:val="006075A2"/>
    <w:rsid w:val="00616244"/>
    <w:rsid w:val="00617806"/>
    <w:rsid w:val="00647E9D"/>
    <w:rsid w:val="006550F3"/>
    <w:rsid w:val="0067197F"/>
    <w:rsid w:val="00675E5A"/>
    <w:rsid w:val="00676996"/>
    <w:rsid w:val="00677B13"/>
    <w:rsid w:val="006826A3"/>
    <w:rsid w:val="00687F97"/>
    <w:rsid w:val="006C74BB"/>
    <w:rsid w:val="006D3FEE"/>
    <w:rsid w:val="006D7ABD"/>
    <w:rsid w:val="006F0740"/>
    <w:rsid w:val="006F519C"/>
    <w:rsid w:val="007058A0"/>
    <w:rsid w:val="00715771"/>
    <w:rsid w:val="00722073"/>
    <w:rsid w:val="00722C1F"/>
    <w:rsid w:val="007344D8"/>
    <w:rsid w:val="00740C29"/>
    <w:rsid w:val="00743B0E"/>
    <w:rsid w:val="007502BB"/>
    <w:rsid w:val="007527A9"/>
    <w:rsid w:val="00754590"/>
    <w:rsid w:val="007549DF"/>
    <w:rsid w:val="00757786"/>
    <w:rsid w:val="00764006"/>
    <w:rsid w:val="00767466"/>
    <w:rsid w:val="00784491"/>
    <w:rsid w:val="0079156E"/>
    <w:rsid w:val="0079474E"/>
    <w:rsid w:val="007C1806"/>
    <w:rsid w:val="007D0E42"/>
    <w:rsid w:val="007D2294"/>
    <w:rsid w:val="007E1ADC"/>
    <w:rsid w:val="007E3F23"/>
    <w:rsid w:val="007F2D39"/>
    <w:rsid w:val="008058D8"/>
    <w:rsid w:val="00807724"/>
    <w:rsid w:val="00812E4D"/>
    <w:rsid w:val="008224C7"/>
    <w:rsid w:val="00822F05"/>
    <w:rsid w:val="00834365"/>
    <w:rsid w:val="00835318"/>
    <w:rsid w:val="00836C1B"/>
    <w:rsid w:val="00840452"/>
    <w:rsid w:val="00854D8B"/>
    <w:rsid w:val="0085607B"/>
    <w:rsid w:val="00861CE2"/>
    <w:rsid w:val="0086365C"/>
    <w:rsid w:val="008639D1"/>
    <w:rsid w:val="00874136"/>
    <w:rsid w:val="00885DC8"/>
    <w:rsid w:val="008861B9"/>
    <w:rsid w:val="008872D9"/>
    <w:rsid w:val="008966E4"/>
    <w:rsid w:val="008A7110"/>
    <w:rsid w:val="008B0223"/>
    <w:rsid w:val="008B2AD3"/>
    <w:rsid w:val="008B43F7"/>
    <w:rsid w:val="008B63D6"/>
    <w:rsid w:val="008C1E4D"/>
    <w:rsid w:val="008C62E5"/>
    <w:rsid w:val="008E7A6F"/>
    <w:rsid w:val="008F52D5"/>
    <w:rsid w:val="00904C5D"/>
    <w:rsid w:val="00914596"/>
    <w:rsid w:val="009242D9"/>
    <w:rsid w:val="00925FC0"/>
    <w:rsid w:val="00953F4B"/>
    <w:rsid w:val="009726ED"/>
    <w:rsid w:val="00981B98"/>
    <w:rsid w:val="00981F69"/>
    <w:rsid w:val="00991CDC"/>
    <w:rsid w:val="00997C23"/>
    <w:rsid w:val="009A5277"/>
    <w:rsid w:val="009C0176"/>
    <w:rsid w:val="009C5DF7"/>
    <w:rsid w:val="009D1BC4"/>
    <w:rsid w:val="009D24FF"/>
    <w:rsid w:val="009D4D4F"/>
    <w:rsid w:val="009E4A59"/>
    <w:rsid w:val="00A002AF"/>
    <w:rsid w:val="00A01BF4"/>
    <w:rsid w:val="00A04E14"/>
    <w:rsid w:val="00A105EB"/>
    <w:rsid w:val="00A148F7"/>
    <w:rsid w:val="00A251DF"/>
    <w:rsid w:val="00A34171"/>
    <w:rsid w:val="00A510C0"/>
    <w:rsid w:val="00A53A2A"/>
    <w:rsid w:val="00A55EF6"/>
    <w:rsid w:val="00A63795"/>
    <w:rsid w:val="00A671CF"/>
    <w:rsid w:val="00A67E5B"/>
    <w:rsid w:val="00A70671"/>
    <w:rsid w:val="00A70F24"/>
    <w:rsid w:val="00A72304"/>
    <w:rsid w:val="00AA055D"/>
    <w:rsid w:val="00AC2A06"/>
    <w:rsid w:val="00AC3597"/>
    <w:rsid w:val="00AC473D"/>
    <w:rsid w:val="00AD3796"/>
    <w:rsid w:val="00AE188F"/>
    <w:rsid w:val="00AE2AFD"/>
    <w:rsid w:val="00AE497B"/>
    <w:rsid w:val="00AE723E"/>
    <w:rsid w:val="00AF2210"/>
    <w:rsid w:val="00B00484"/>
    <w:rsid w:val="00B03B65"/>
    <w:rsid w:val="00B06010"/>
    <w:rsid w:val="00B1646F"/>
    <w:rsid w:val="00B24356"/>
    <w:rsid w:val="00B41D07"/>
    <w:rsid w:val="00B4759A"/>
    <w:rsid w:val="00B640BD"/>
    <w:rsid w:val="00B64531"/>
    <w:rsid w:val="00B7270E"/>
    <w:rsid w:val="00B8155C"/>
    <w:rsid w:val="00B83BF2"/>
    <w:rsid w:val="00B932A7"/>
    <w:rsid w:val="00B95BAE"/>
    <w:rsid w:val="00BA1FB0"/>
    <w:rsid w:val="00BA5D13"/>
    <w:rsid w:val="00BB6ED0"/>
    <w:rsid w:val="00BC367F"/>
    <w:rsid w:val="00BC7A1A"/>
    <w:rsid w:val="00BD3A46"/>
    <w:rsid w:val="00BE2683"/>
    <w:rsid w:val="00BE620D"/>
    <w:rsid w:val="00BF5C29"/>
    <w:rsid w:val="00C1252C"/>
    <w:rsid w:val="00C1300C"/>
    <w:rsid w:val="00C22048"/>
    <w:rsid w:val="00C2672F"/>
    <w:rsid w:val="00C32BF1"/>
    <w:rsid w:val="00C337D0"/>
    <w:rsid w:val="00C424EA"/>
    <w:rsid w:val="00C442BE"/>
    <w:rsid w:val="00C442CC"/>
    <w:rsid w:val="00C50D9D"/>
    <w:rsid w:val="00C54F6A"/>
    <w:rsid w:val="00C65899"/>
    <w:rsid w:val="00C70BCD"/>
    <w:rsid w:val="00C83128"/>
    <w:rsid w:val="00C84E68"/>
    <w:rsid w:val="00C8748C"/>
    <w:rsid w:val="00CA585D"/>
    <w:rsid w:val="00CA5C99"/>
    <w:rsid w:val="00CB27E5"/>
    <w:rsid w:val="00CB61CC"/>
    <w:rsid w:val="00CD41F8"/>
    <w:rsid w:val="00CD6EC1"/>
    <w:rsid w:val="00CD7836"/>
    <w:rsid w:val="00CE21E6"/>
    <w:rsid w:val="00CE5C9C"/>
    <w:rsid w:val="00CF07DC"/>
    <w:rsid w:val="00CF0801"/>
    <w:rsid w:val="00D25CDB"/>
    <w:rsid w:val="00D3408D"/>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B78F1"/>
    <w:rsid w:val="00DD489F"/>
    <w:rsid w:val="00DD70FB"/>
    <w:rsid w:val="00DF270B"/>
    <w:rsid w:val="00DF36AC"/>
    <w:rsid w:val="00DF6D64"/>
    <w:rsid w:val="00E00BE8"/>
    <w:rsid w:val="00E10425"/>
    <w:rsid w:val="00E20D35"/>
    <w:rsid w:val="00E21D57"/>
    <w:rsid w:val="00E24D44"/>
    <w:rsid w:val="00E26194"/>
    <w:rsid w:val="00E2631D"/>
    <w:rsid w:val="00E3185C"/>
    <w:rsid w:val="00E41206"/>
    <w:rsid w:val="00E44BB9"/>
    <w:rsid w:val="00E46DE1"/>
    <w:rsid w:val="00E50C57"/>
    <w:rsid w:val="00E52190"/>
    <w:rsid w:val="00E54E75"/>
    <w:rsid w:val="00E6260E"/>
    <w:rsid w:val="00E66DC4"/>
    <w:rsid w:val="00E66E08"/>
    <w:rsid w:val="00E831B3"/>
    <w:rsid w:val="00E852B6"/>
    <w:rsid w:val="00E91E3A"/>
    <w:rsid w:val="00EA68A9"/>
    <w:rsid w:val="00EB09AC"/>
    <w:rsid w:val="00EB2384"/>
    <w:rsid w:val="00EC1320"/>
    <w:rsid w:val="00EC2404"/>
    <w:rsid w:val="00ED5ABD"/>
    <w:rsid w:val="00EE1B7D"/>
    <w:rsid w:val="00F30DE0"/>
    <w:rsid w:val="00F35FAE"/>
    <w:rsid w:val="00F5171D"/>
    <w:rsid w:val="00F52845"/>
    <w:rsid w:val="00F614E0"/>
    <w:rsid w:val="00F715A6"/>
    <w:rsid w:val="00F767CC"/>
    <w:rsid w:val="00F82E3A"/>
    <w:rsid w:val="00FA0381"/>
    <w:rsid w:val="00FA2F1D"/>
    <w:rsid w:val="00FA380D"/>
    <w:rsid w:val="00FA3ECC"/>
    <w:rsid w:val="00FA4299"/>
    <w:rsid w:val="00FA46BD"/>
    <w:rsid w:val="00FA5C2C"/>
    <w:rsid w:val="00FB0EAC"/>
    <w:rsid w:val="00FC0E20"/>
    <w:rsid w:val="00FC17ED"/>
    <w:rsid w:val="00FC5768"/>
    <w:rsid w:val="00FC6563"/>
    <w:rsid w:val="00FD25D7"/>
    <w:rsid w:val="00FD581F"/>
    <w:rsid w:val="00FD66DC"/>
    <w:rsid w:val="00FD757A"/>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paragraph" w:styleId="Textkrper">
    <w:name w:val="Body Text"/>
    <w:basedOn w:val="Standard"/>
    <w:link w:val="TextkrperZchn"/>
    <w:uiPriority w:val="99"/>
    <w:unhideWhenUsed/>
    <w:rsid w:val="00835318"/>
    <w:pPr>
      <w:spacing w:after="120" w:line="276" w:lineRule="auto"/>
      <w:ind w:left="0"/>
      <w:jc w:val="left"/>
    </w:pPr>
    <w:rPr>
      <w:rFonts w:asciiTheme="minorHAnsi" w:eastAsiaTheme="minorEastAsia" w:hAnsiTheme="minorHAnsi"/>
      <w:sz w:val="22"/>
      <w:lang w:val="es-ES" w:eastAsia="zh-CN"/>
    </w:rPr>
  </w:style>
  <w:style w:type="character" w:customStyle="1" w:styleId="TextkrperZchn">
    <w:name w:val="Textkörper Zchn"/>
    <w:basedOn w:val="Absatz-Standardschriftart"/>
    <w:link w:val="Textkrper"/>
    <w:uiPriority w:val="99"/>
    <w:rsid w:val="00835318"/>
    <w:rPr>
      <w:rFonts w:eastAsiaTheme="minorEastAsi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387">
      <w:bodyDiv w:val="1"/>
      <w:marLeft w:val="0"/>
      <w:marRight w:val="0"/>
      <w:marTop w:val="0"/>
      <w:marBottom w:val="0"/>
      <w:divBdr>
        <w:top w:val="none" w:sz="0" w:space="0" w:color="auto"/>
        <w:left w:val="none" w:sz="0" w:space="0" w:color="auto"/>
        <w:bottom w:val="none" w:sz="0" w:space="0" w:color="auto"/>
        <w:right w:val="none" w:sz="0" w:space="0" w:color="auto"/>
      </w:divBdr>
    </w:div>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16347562">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92AB-F8CA-4E29-935C-EC8F1ECF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3950</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Haim Katharina</cp:lastModifiedBy>
  <cp:revision>2</cp:revision>
  <cp:lastPrinted>2018-07-02T14:30:00Z</cp:lastPrinted>
  <dcterms:created xsi:type="dcterms:W3CDTF">2018-10-25T08:43:00Z</dcterms:created>
  <dcterms:modified xsi:type="dcterms:W3CDTF">2018-10-25T08:43:00Z</dcterms:modified>
</cp:coreProperties>
</file>