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1E" w:rsidRDefault="0073741E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:rsidR="00617115" w:rsidRDefault="00617115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:rsidR="0073741E" w:rsidRPr="0058631D" w:rsidRDefault="00950845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  <w:r>
        <w:rPr>
          <w:rFonts w:cs="Arial"/>
          <w:b/>
          <w:sz w:val="32"/>
          <w:szCs w:val="32"/>
          <w:lang w:val="de-AT"/>
        </w:rPr>
        <w:t>Perfekte</w:t>
      </w:r>
      <w:r w:rsidR="009359D3">
        <w:rPr>
          <w:rFonts w:cs="Arial"/>
          <w:b/>
          <w:sz w:val="32"/>
          <w:szCs w:val="32"/>
          <w:lang w:val="de-AT"/>
        </w:rPr>
        <w:t xml:space="preserve">s </w:t>
      </w:r>
      <w:r w:rsidR="00D25685">
        <w:rPr>
          <w:rFonts w:cs="Arial"/>
          <w:b/>
          <w:sz w:val="32"/>
          <w:szCs w:val="32"/>
          <w:lang w:val="de-AT"/>
        </w:rPr>
        <w:t>Retrofit</w:t>
      </w:r>
      <w:r w:rsidR="009359D3">
        <w:rPr>
          <w:rFonts w:cs="Arial"/>
          <w:b/>
          <w:sz w:val="32"/>
          <w:szCs w:val="32"/>
          <w:lang w:val="de-AT"/>
        </w:rPr>
        <w:t>rezept</w:t>
      </w:r>
      <w:r w:rsidR="00C87F97">
        <w:rPr>
          <w:rFonts w:cs="Arial"/>
          <w:b/>
          <w:sz w:val="32"/>
          <w:szCs w:val="32"/>
          <w:lang w:val="de-AT"/>
        </w:rPr>
        <w:t xml:space="preserve"> für Almi</w:t>
      </w:r>
    </w:p>
    <w:p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:rsidR="00A67260" w:rsidRDefault="00950845" w:rsidP="003328BA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TGW modernisiert</w:t>
      </w:r>
      <w:r w:rsidR="00930E10">
        <w:rPr>
          <w:rFonts w:cs="Arial"/>
          <w:b/>
          <w:sz w:val="24"/>
          <w:szCs w:val="24"/>
          <w:lang w:val="de-AT"/>
        </w:rPr>
        <w:t>e</w:t>
      </w:r>
      <w:r>
        <w:rPr>
          <w:rFonts w:cs="Arial"/>
          <w:b/>
          <w:sz w:val="24"/>
          <w:szCs w:val="24"/>
          <w:lang w:val="de-AT"/>
        </w:rPr>
        <w:t xml:space="preserve"> </w:t>
      </w:r>
      <w:r w:rsidR="003328BA">
        <w:rPr>
          <w:rFonts w:cs="Arial"/>
          <w:b/>
          <w:sz w:val="24"/>
          <w:szCs w:val="24"/>
          <w:lang w:val="de-AT"/>
        </w:rPr>
        <w:t xml:space="preserve">das </w:t>
      </w:r>
      <w:r>
        <w:rPr>
          <w:rFonts w:cs="Arial"/>
          <w:b/>
          <w:sz w:val="24"/>
          <w:szCs w:val="24"/>
          <w:lang w:val="de-AT"/>
        </w:rPr>
        <w:t xml:space="preserve">Lager des </w:t>
      </w:r>
      <w:r w:rsidR="003328BA">
        <w:rPr>
          <w:rFonts w:cs="Arial"/>
          <w:b/>
          <w:sz w:val="24"/>
          <w:szCs w:val="24"/>
          <w:lang w:val="de-AT"/>
        </w:rPr>
        <w:t>Gewürzspezialist</w:t>
      </w:r>
      <w:r w:rsidR="00BA793F">
        <w:rPr>
          <w:rFonts w:cs="Arial"/>
          <w:b/>
          <w:sz w:val="24"/>
          <w:szCs w:val="24"/>
          <w:lang w:val="de-AT"/>
        </w:rPr>
        <w:t>en</w:t>
      </w:r>
      <w:r w:rsidR="00D17C0F">
        <w:rPr>
          <w:rFonts w:cs="Arial"/>
          <w:b/>
          <w:sz w:val="24"/>
          <w:szCs w:val="24"/>
          <w:lang w:val="de-AT"/>
        </w:rPr>
        <w:br/>
      </w:r>
      <w:r w:rsidR="003328BA">
        <w:rPr>
          <w:rFonts w:cs="Arial"/>
          <w:b/>
          <w:sz w:val="24"/>
          <w:szCs w:val="24"/>
          <w:lang w:val="de-AT"/>
        </w:rPr>
        <w:t>im laufende</w:t>
      </w:r>
      <w:r w:rsidR="00C74BD8">
        <w:rPr>
          <w:rFonts w:cs="Arial"/>
          <w:b/>
          <w:sz w:val="24"/>
          <w:szCs w:val="24"/>
          <w:lang w:val="de-AT"/>
        </w:rPr>
        <w:t>n</w:t>
      </w:r>
      <w:r w:rsidR="003328BA">
        <w:rPr>
          <w:rFonts w:cs="Arial"/>
          <w:b/>
          <w:sz w:val="24"/>
          <w:szCs w:val="24"/>
          <w:lang w:val="de-AT"/>
        </w:rPr>
        <w:t xml:space="preserve"> Betrieb</w:t>
      </w:r>
    </w:p>
    <w:p w:rsidR="00950845" w:rsidRPr="001F49D5" w:rsidRDefault="003328BA" w:rsidP="001F49D5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Dank Erneuerung</w:t>
      </w:r>
      <w:r w:rsidR="00E13783">
        <w:rPr>
          <w:rFonts w:cs="Arial"/>
          <w:b/>
          <w:sz w:val="24"/>
          <w:szCs w:val="24"/>
          <w:lang w:val="de-AT"/>
        </w:rPr>
        <w:t xml:space="preserve"> von Hard- und Software </w:t>
      </w:r>
      <w:r w:rsidR="001F49D5">
        <w:rPr>
          <w:rFonts w:cs="Arial"/>
          <w:b/>
          <w:sz w:val="24"/>
          <w:szCs w:val="24"/>
          <w:lang w:val="de-AT"/>
        </w:rPr>
        <w:t>lassen sich</w:t>
      </w:r>
      <w:r w:rsidR="00E13783">
        <w:rPr>
          <w:rFonts w:cs="Arial"/>
          <w:b/>
          <w:sz w:val="24"/>
          <w:szCs w:val="24"/>
          <w:lang w:val="de-AT"/>
        </w:rPr>
        <w:t xml:space="preserve"> </w:t>
      </w:r>
      <w:r w:rsidR="001F49D5">
        <w:rPr>
          <w:rFonts w:cs="Arial"/>
          <w:b/>
          <w:sz w:val="24"/>
          <w:szCs w:val="24"/>
          <w:lang w:val="de-AT"/>
        </w:rPr>
        <w:br/>
      </w:r>
      <w:r w:rsidR="00E13783" w:rsidRPr="001F49D5">
        <w:rPr>
          <w:rFonts w:cs="Arial"/>
          <w:b/>
          <w:sz w:val="24"/>
          <w:szCs w:val="24"/>
          <w:lang w:val="de-AT"/>
        </w:rPr>
        <w:t xml:space="preserve">bis zu 20 Prozent </w:t>
      </w:r>
      <w:r w:rsidRPr="001F49D5">
        <w:rPr>
          <w:rFonts w:cs="Arial"/>
          <w:b/>
          <w:sz w:val="24"/>
          <w:szCs w:val="24"/>
          <w:lang w:val="de-AT"/>
        </w:rPr>
        <w:t xml:space="preserve">Energie </w:t>
      </w:r>
      <w:r w:rsidR="001F49D5">
        <w:rPr>
          <w:rFonts w:cs="Arial"/>
          <w:b/>
          <w:sz w:val="24"/>
          <w:szCs w:val="24"/>
          <w:lang w:val="de-AT"/>
        </w:rPr>
        <w:t>einsparen</w:t>
      </w:r>
    </w:p>
    <w:p w:rsidR="00E26207" w:rsidRDefault="00E13783" w:rsidP="003328BA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Projekt stellt </w:t>
      </w:r>
      <w:r w:rsidR="00BA793F">
        <w:rPr>
          <w:rFonts w:cs="Arial"/>
          <w:b/>
          <w:sz w:val="24"/>
          <w:szCs w:val="24"/>
          <w:lang w:val="de-AT"/>
        </w:rPr>
        <w:t xml:space="preserve">die </w:t>
      </w:r>
      <w:r>
        <w:rPr>
          <w:rFonts w:cs="Arial"/>
          <w:b/>
          <w:sz w:val="24"/>
          <w:szCs w:val="24"/>
          <w:lang w:val="de-AT"/>
        </w:rPr>
        <w:t xml:space="preserve">Anlagenverfügbarkeit </w:t>
      </w:r>
      <w:r w:rsidR="00D25685">
        <w:rPr>
          <w:rFonts w:cs="Arial"/>
          <w:b/>
          <w:sz w:val="24"/>
          <w:szCs w:val="24"/>
          <w:lang w:val="de-AT"/>
        </w:rPr>
        <w:t xml:space="preserve">langfristig </w:t>
      </w:r>
      <w:r w:rsidR="003328BA">
        <w:rPr>
          <w:rFonts w:cs="Arial"/>
          <w:b/>
          <w:sz w:val="24"/>
          <w:szCs w:val="24"/>
          <w:lang w:val="de-AT"/>
        </w:rPr>
        <w:t>sicher</w:t>
      </w:r>
    </w:p>
    <w:p w:rsidR="00A52BBB" w:rsidRDefault="00A52BBB" w:rsidP="00D25685">
      <w:pPr>
        <w:pStyle w:val="Listenabsatz"/>
        <w:spacing w:line="360" w:lineRule="auto"/>
        <w:ind w:right="1693"/>
        <w:rPr>
          <w:rFonts w:cs="Arial"/>
          <w:b/>
          <w:sz w:val="24"/>
          <w:szCs w:val="24"/>
          <w:lang w:val="de-AT"/>
        </w:rPr>
      </w:pPr>
    </w:p>
    <w:p w:rsidR="005A4DB6" w:rsidRPr="003328BA" w:rsidRDefault="00EF32D1" w:rsidP="00F67286">
      <w:pPr>
        <w:spacing w:line="360" w:lineRule="auto"/>
        <w:ind w:left="0" w:right="1693"/>
        <w:rPr>
          <w:rFonts w:cs="Arial"/>
          <w:b/>
          <w:szCs w:val="20"/>
        </w:rPr>
      </w:pPr>
      <w:r w:rsidRPr="003328BA">
        <w:rPr>
          <w:rFonts w:cs="Arial"/>
          <w:b/>
          <w:szCs w:val="20"/>
        </w:rPr>
        <w:t>(Marchtrenk,</w:t>
      </w:r>
      <w:r w:rsidR="006839CE">
        <w:rPr>
          <w:rFonts w:cs="Arial"/>
          <w:b/>
          <w:szCs w:val="20"/>
        </w:rPr>
        <w:t xml:space="preserve"> 27. September </w:t>
      </w:r>
      <w:r w:rsidR="007B4A78" w:rsidRPr="003328BA">
        <w:rPr>
          <w:rFonts w:cs="Arial"/>
          <w:b/>
          <w:szCs w:val="20"/>
        </w:rPr>
        <w:t>2022</w:t>
      </w:r>
      <w:r w:rsidRPr="003328BA">
        <w:rPr>
          <w:rFonts w:cs="Arial"/>
          <w:b/>
          <w:szCs w:val="20"/>
        </w:rPr>
        <w:t xml:space="preserve">) </w:t>
      </w:r>
      <w:r w:rsidR="00A52BBB" w:rsidRPr="003328BA">
        <w:rPr>
          <w:rFonts w:cs="Arial"/>
          <w:b/>
          <w:szCs w:val="20"/>
        </w:rPr>
        <w:t xml:space="preserve">Wer resiliente </w:t>
      </w:r>
      <w:r w:rsidR="00D25685" w:rsidRPr="003328BA">
        <w:rPr>
          <w:rFonts w:cs="Arial"/>
          <w:b/>
          <w:szCs w:val="20"/>
        </w:rPr>
        <w:t>Wertschöpfungsketten</w:t>
      </w:r>
      <w:r w:rsidR="00F4616D" w:rsidRPr="003328BA">
        <w:rPr>
          <w:rFonts w:cs="Arial"/>
          <w:b/>
          <w:szCs w:val="20"/>
        </w:rPr>
        <w:t xml:space="preserve"> </w:t>
      </w:r>
      <w:r w:rsidR="00E819C5" w:rsidRPr="003328BA">
        <w:rPr>
          <w:rFonts w:cs="Arial"/>
          <w:b/>
          <w:szCs w:val="20"/>
        </w:rPr>
        <w:t>formen</w:t>
      </w:r>
      <w:r w:rsidR="00804A80">
        <w:rPr>
          <w:rFonts w:cs="Arial"/>
          <w:b/>
          <w:szCs w:val="20"/>
        </w:rPr>
        <w:t xml:space="preserve"> will, um </w:t>
      </w:r>
      <w:r w:rsidR="00F4616D" w:rsidRPr="003328BA">
        <w:rPr>
          <w:rFonts w:cs="Arial"/>
          <w:b/>
          <w:szCs w:val="20"/>
        </w:rPr>
        <w:t>Lieferversprechen geg</w:t>
      </w:r>
      <w:bookmarkStart w:id="0" w:name="_GoBack"/>
      <w:bookmarkEnd w:id="0"/>
      <w:r w:rsidR="00F4616D" w:rsidRPr="003328BA">
        <w:rPr>
          <w:rFonts w:cs="Arial"/>
          <w:b/>
          <w:szCs w:val="20"/>
        </w:rPr>
        <w:t xml:space="preserve">enüber Kunden </w:t>
      </w:r>
      <w:r w:rsidR="00804A80">
        <w:rPr>
          <w:rFonts w:cs="Arial"/>
          <w:b/>
          <w:szCs w:val="20"/>
        </w:rPr>
        <w:t>einzuhalten</w:t>
      </w:r>
      <w:r w:rsidR="00F4616D" w:rsidRPr="003328BA">
        <w:rPr>
          <w:rFonts w:cs="Arial"/>
          <w:b/>
          <w:szCs w:val="20"/>
        </w:rPr>
        <w:t xml:space="preserve">, benötigt </w:t>
      </w:r>
      <w:r w:rsidR="003328BA">
        <w:rPr>
          <w:rFonts w:cs="Arial"/>
          <w:b/>
          <w:szCs w:val="20"/>
        </w:rPr>
        <w:t xml:space="preserve">eine </w:t>
      </w:r>
      <w:r w:rsidR="002E0554">
        <w:rPr>
          <w:rFonts w:cs="Arial"/>
          <w:b/>
          <w:szCs w:val="20"/>
        </w:rPr>
        <w:t>leistungsstarke</w:t>
      </w:r>
      <w:r w:rsidR="00F4616D" w:rsidRPr="003328BA">
        <w:rPr>
          <w:rFonts w:cs="Arial"/>
          <w:b/>
          <w:szCs w:val="20"/>
        </w:rPr>
        <w:t xml:space="preserve"> I</w:t>
      </w:r>
      <w:r w:rsidR="003328BA">
        <w:rPr>
          <w:rFonts w:cs="Arial"/>
          <w:b/>
          <w:szCs w:val="20"/>
        </w:rPr>
        <w:t xml:space="preserve">ntralogistik. Der </w:t>
      </w:r>
      <w:r w:rsidR="00D17C0F">
        <w:rPr>
          <w:rFonts w:cs="Arial"/>
          <w:b/>
          <w:szCs w:val="20"/>
        </w:rPr>
        <w:t xml:space="preserve">oberösterreichische </w:t>
      </w:r>
      <w:r w:rsidR="003328BA">
        <w:rPr>
          <w:rFonts w:cs="Arial"/>
          <w:b/>
          <w:szCs w:val="20"/>
        </w:rPr>
        <w:t>Gewürz</w:t>
      </w:r>
      <w:r w:rsidR="00F4616D" w:rsidRPr="003328BA">
        <w:rPr>
          <w:rFonts w:cs="Arial"/>
          <w:b/>
          <w:szCs w:val="20"/>
        </w:rPr>
        <w:t>spezialist Almi</w:t>
      </w:r>
      <w:r w:rsidR="00E819C5" w:rsidRPr="003328BA">
        <w:rPr>
          <w:rFonts w:cs="Arial"/>
          <w:b/>
          <w:szCs w:val="20"/>
        </w:rPr>
        <w:t xml:space="preserve"> </w:t>
      </w:r>
      <w:r w:rsidR="00F4616D" w:rsidRPr="003328BA">
        <w:rPr>
          <w:rFonts w:cs="Arial"/>
          <w:b/>
          <w:szCs w:val="20"/>
        </w:rPr>
        <w:t xml:space="preserve">beauftragte daher die TGW Logistics Group mit der Modernisierung </w:t>
      </w:r>
      <w:r w:rsidR="00D25685" w:rsidRPr="003328BA">
        <w:rPr>
          <w:rFonts w:cs="Arial"/>
          <w:b/>
          <w:szCs w:val="20"/>
        </w:rPr>
        <w:t>seines</w:t>
      </w:r>
      <w:r w:rsidR="00F4616D" w:rsidRPr="003328BA">
        <w:rPr>
          <w:rFonts w:cs="Arial"/>
          <w:b/>
          <w:szCs w:val="20"/>
        </w:rPr>
        <w:t xml:space="preserve"> Lagers</w:t>
      </w:r>
      <w:r w:rsidR="00424F0D" w:rsidRPr="003328BA">
        <w:rPr>
          <w:rFonts w:cs="Arial"/>
          <w:b/>
          <w:szCs w:val="20"/>
        </w:rPr>
        <w:t xml:space="preserve"> in Oftering</w:t>
      </w:r>
      <w:r w:rsidR="00F4616D" w:rsidRPr="003328BA">
        <w:rPr>
          <w:rFonts w:cs="Arial"/>
          <w:b/>
          <w:szCs w:val="20"/>
        </w:rPr>
        <w:t xml:space="preserve">. Die </w:t>
      </w:r>
      <w:r w:rsidR="002E0554">
        <w:rPr>
          <w:rFonts w:cs="Arial"/>
          <w:b/>
          <w:szCs w:val="20"/>
        </w:rPr>
        <w:t>TGW-</w:t>
      </w:r>
      <w:r w:rsidR="00F4616D" w:rsidRPr="003328BA">
        <w:rPr>
          <w:rFonts w:cs="Arial"/>
          <w:b/>
          <w:szCs w:val="20"/>
        </w:rPr>
        <w:t xml:space="preserve">Experten </w:t>
      </w:r>
      <w:r w:rsidR="00BA793F">
        <w:rPr>
          <w:rFonts w:cs="Arial"/>
          <w:b/>
          <w:szCs w:val="20"/>
        </w:rPr>
        <w:t>realisierten</w:t>
      </w:r>
      <w:r w:rsidR="00E819C5" w:rsidRPr="003328BA">
        <w:rPr>
          <w:rFonts w:cs="Arial"/>
          <w:b/>
          <w:szCs w:val="20"/>
        </w:rPr>
        <w:t xml:space="preserve"> das Projekt </w:t>
      </w:r>
      <w:r w:rsidR="00D25685" w:rsidRPr="003328BA">
        <w:rPr>
          <w:rFonts w:cs="Arial"/>
          <w:b/>
          <w:szCs w:val="20"/>
        </w:rPr>
        <w:t>in Rekordzeit</w:t>
      </w:r>
      <w:r w:rsidR="00E819C5" w:rsidRPr="003328BA">
        <w:rPr>
          <w:rFonts w:cs="Arial"/>
          <w:b/>
          <w:szCs w:val="20"/>
        </w:rPr>
        <w:t xml:space="preserve"> – bei laufendem Betrieb und trotz der</w:t>
      </w:r>
      <w:r w:rsidR="003328BA">
        <w:rPr>
          <w:rFonts w:cs="Arial"/>
          <w:b/>
          <w:szCs w:val="20"/>
        </w:rPr>
        <w:t xml:space="preserve"> Auswirkungen der Coronapandemie.</w:t>
      </w:r>
    </w:p>
    <w:p w:rsidR="00E819C5" w:rsidRPr="003328BA" w:rsidRDefault="00E819C5" w:rsidP="00F67286">
      <w:pPr>
        <w:spacing w:line="360" w:lineRule="auto"/>
        <w:ind w:left="0" w:right="1693"/>
        <w:rPr>
          <w:rFonts w:cs="Arial"/>
          <w:b/>
          <w:szCs w:val="20"/>
        </w:rPr>
      </w:pPr>
    </w:p>
    <w:p w:rsidR="00E852FE" w:rsidRDefault="00E819C5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Gegessen wird immer. Dieses Sprichwort ist für den Gewürzmischungshersteller Almi Fluch und Segen zugleich. Segen deshalb, weil das Unternehmen </w:t>
      </w:r>
      <w:r w:rsidR="00930E10">
        <w:rPr>
          <w:rFonts w:cs="Arial"/>
          <w:bCs/>
          <w:szCs w:val="20"/>
        </w:rPr>
        <w:t>mit seiner Strategie</w:t>
      </w:r>
      <w:r w:rsidRPr="003328BA">
        <w:rPr>
          <w:rFonts w:cs="Arial"/>
          <w:bCs/>
          <w:szCs w:val="20"/>
        </w:rPr>
        <w:t xml:space="preserve"> zur Diversifizierung und Internationalisierung seit der Gründung im Jahr </w:t>
      </w:r>
      <w:r w:rsidR="00D740E2">
        <w:rPr>
          <w:rFonts w:cs="Arial"/>
          <w:bCs/>
          <w:szCs w:val="20"/>
        </w:rPr>
        <w:t xml:space="preserve">1931 konstant gewachsen ist. </w:t>
      </w:r>
      <w:r w:rsidR="00D25685" w:rsidRPr="003328BA">
        <w:rPr>
          <w:rFonts w:cs="Arial"/>
          <w:bCs/>
          <w:szCs w:val="20"/>
        </w:rPr>
        <w:t>Heute</w:t>
      </w:r>
      <w:r w:rsidR="00A829AB" w:rsidRPr="003328BA">
        <w:rPr>
          <w:rFonts w:cs="Arial"/>
          <w:bCs/>
          <w:szCs w:val="20"/>
        </w:rPr>
        <w:t xml:space="preserve"> lassen sich kleine und große Gourmets in 62 Ländern Produkte mit hochwertigen Almi-Gewürzen schmecken </w:t>
      </w:r>
      <w:r w:rsidR="0072106C" w:rsidRPr="003328BA">
        <w:rPr>
          <w:rFonts w:cs="Arial"/>
          <w:bCs/>
          <w:szCs w:val="20"/>
        </w:rPr>
        <w:t>–</w:t>
      </w:r>
      <w:r w:rsidR="00A829AB" w:rsidRPr="003328BA">
        <w:rPr>
          <w:rFonts w:cs="Arial"/>
          <w:bCs/>
          <w:szCs w:val="20"/>
        </w:rPr>
        <w:t xml:space="preserve"> </w:t>
      </w:r>
      <w:r w:rsidR="0072106C" w:rsidRPr="003328BA">
        <w:rPr>
          <w:rFonts w:cs="Arial"/>
          <w:bCs/>
          <w:szCs w:val="20"/>
        </w:rPr>
        <w:t>von</w:t>
      </w:r>
      <w:r w:rsidR="00D740E2">
        <w:rPr>
          <w:rFonts w:cs="Arial"/>
          <w:bCs/>
          <w:szCs w:val="20"/>
        </w:rPr>
        <w:t xml:space="preserve"> der Spargelsuppe bis zum Bio-Hü</w:t>
      </w:r>
      <w:r w:rsidR="0072106C" w:rsidRPr="003328BA">
        <w:rPr>
          <w:rFonts w:cs="Arial"/>
          <w:bCs/>
          <w:szCs w:val="20"/>
        </w:rPr>
        <w:t>hnchen. Rund 132 Millionen Euro Umsatz mache</w:t>
      </w:r>
      <w:r w:rsidR="00D740E2">
        <w:rPr>
          <w:rFonts w:cs="Arial"/>
          <w:bCs/>
          <w:szCs w:val="20"/>
        </w:rPr>
        <w:t xml:space="preserve">n die Oberösterreicher pro Jahr, </w:t>
      </w:r>
      <w:r w:rsidR="0072106C" w:rsidRPr="003328BA">
        <w:rPr>
          <w:rFonts w:cs="Arial"/>
          <w:bCs/>
          <w:szCs w:val="20"/>
        </w:rPr>
        <w:t>fast 90 Prozent der Produkte gehen in den Ex</w:t>
      </w:r>
      <w:r w:rsidR="00D740E2">
        <w:rPr>
          <w:rFonts w:cs="Arial"/>
          <w:bCs/>
          <w:szCs w:val="20"/>
        </w:rPr>
        <w:t>port.</w:t>
      </w:r>
    </w:p>
    <w:p w:rsidR="00D740E2" w:rsidRDefault="00D740E2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D740E2" w:rsidRPr="00D740E2" w:rsidRDefault="00D740E2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D740E2">
        <w:rPr>
          <w:rFonts w:cs="Arial"/>
          <w:b/>
          <w:bCs/>
          <w:szCs w:val="20"/>
        </w:rPr>
        <w:t>Retrofit im laufenden Betrieb</w:t>
      </w:r>
    </w:p>
    <w:p w:rsidR="0072106C" w:rsidRPr="003328BA" w:rsidRDefault="0072106C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72106C" w:rsidRPr="003328BA" w:rsidRDefault="0072106C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Doch der Erfolg in der Lebensmittelindustrie hat auch seinen Preis. Die </w:t>
      </w:r>
      <w:r w:rsidR="000C285F" w:rsidRPr="003328BA">
        <w:rPr>
          <w:rFonts w:cs="Arial"/>
          <w:bCs/>
          <w:szCs w:val="20"/>
        </w:rPr>
        <w:t>Kunden</w:t>
      </w:r>
      <w:r w:rsidR="00170FFB">
        <w:rPr>
          <w:rFonts w:cs="Arial"/>
          <w:bCs/>
          <w:szCs w:val="20"/>
        </w:rPr>
        <w:t xml:space="preserve"> haben Hunger – a</w:t>
      </w:r>
      <w:r w:rsidR="00E3280C" w:rsidRPr="003328BA">
        <w:rPr>
          <w:rFonts w:cs="Arial"/>
          <w:bCs/>
          <w:szCs w:val="20"/>
        </w:rPr>
        <w:t>uch an Feiertagen</w:t>
      </w:r>
      <w:r w:rsidR="000C285F" w:rsidRPr="003328BA">
        <w:rPr>
          <w:rFonts w:cs="Arial"/>
          <w:bCs/>
          <w:szCs w:val="20"/>
        </w:rPr>
        <w:t xml:space="preserve">. Das </w:t>
      </w:r>
      <w:r w:rsidR="00E3280C" w:rsidRPr="003328BA">
        <w:rPr>
          <w:rFonts w:cs="Arial"/>
          <w:bCs/>
          <w:szCs w:val="20"/>
        </w:rPr>
        <w:t xml:space="preserve">heißt: Im Vergleich zu anderen </w:t>
      </w:r>
      <w:r w:rsidR="00BA793F">
        <w:rPr>
          <w:rFonts w:cs="Arial"/>
          <w:bCs/>
          <w:szCs w:val="20"/>
        </w:rPr>
        <w:t>Branchen</w:t>
      </w:r>
      <w:r w:rsidR="00E3280C" w:rsidRPr="003328BA">
        <w:rPr>
          <w:rFonts w:cs="Arial"/>
          <w:bCs/>
          <w:szCs w:val="20"/>
        </w:rPr>
        <w:t xml:space="preserve">, wo in den Betriebsferien die Produktion </w:t>
      </w:r>
      <w:r w:rsidR="00D740E2">
        <w:rPr>
          <w:rFonts w:cs="Arial"/>
          <w:bCs/>
          <w:szCs w:val="20"/>
        </w:rPr>
        <w:t>stillsteht</w:t>
      </w:r>
      <w:r w:rsidR="00E3280C" w:rsidRPr="003328BA">
        <w:rPr>
          <w:rFonts w:cs="Arial"/>
          <w:bCs/>
          <w:szCs w:val="20"/>
        </w:rPr>
        <w:t xml:space="preserve">, kann sich Almi keine </w:t>
      </w:r>
      <w:r w:rsidR="00170FFB">
        <w:rPr>
          <w:rFonts w:cs="Arial"/>
          <w:bCs/>
          <w:szCs w:val="20"/>
        </w:rPr>
        <w:t>längeren</w:t>
      </w:r>
      <w:r w:rsidR="00E3280C" w:rsidRPr="003328BA">
        <w:rPr>
          <w:rFonts w:cs="Arial"/>
          <w:bCs/>
          <w:szCs w:val="20"/>
        </w:rPr>
        <w:t xml:space="preserve"> Pausen leisten. </w:t>
      </w:r>
      <w:r w:rsidR="00010E97" w:rsidRPr="003328BA">
        <w:rPr>
          <w:rFonts w:cs="Arial"/>
          <w:bCs/>
          <w:szCs w:val="20"/>
        </w:rPr>
        <w:t xml:space="preserve">Für größere Bau- oder Modernisierungsprojekte bringt das in puncto Zeitmanagement große Herausforderungen mit sich. </w:t>
      </w:r>
    </w:p>
    <w:p w:rsidR="00010E97" w:rsidRPr="003328BA" w:rsidRDefault="00010E97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010E97" w:rsidRPr="003328BA" w:rsidRDefault="00010E97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Das galt auch für </w:t>
      </w:r>
      <w:r w:rsidR="00930E10">
        <w:rPr>
          <w:rFonts w:cs="Arial"/>
          <w:bCs/>
          <w:szCs w:val="20"/>
        </w:rPr>
        <w:t xml:space="preserve">das Retrofit </w:t>
      </w:r>
      <w:r w:rsidRPr="003328BA">
        <w:rPr>
          <w:rFonts w:cs="Arial"/>
          <w:bCs/>
          <w:szCs w:val="20"/>
        </w:rPr>
        <w:t xml:space="preserve">des </w:t>
      </w:r>
      <w:r w:rsidR="000C285F" w:rsidRPr="003328BA">
        <w:rPr>
          <w:rFonts w:cs="Arial"/>
          <w:bCs/>
          <w:szCs w:val="20"/>
        </w:rPr>
        <w:t xml:space="preserve">automatisierten </w:t>
      </w:r>
      <w:r w:rsidRPr="003328BA">
        <w:rPr>
          <w:rFonts w:cs="Arial"/>
          <w:bCs/>
          <w:szCs w:val="20"/>
        </w:rPr>
        <w:t xml:space="preserve">Behälterlagers </w:t>
      </w:r>
      <w:r w:rsidRPr="006F5483">
        <w:rPr>
          <w:rFonts w:cs="Arial"/>
          <w:bCs/>
          <w:szCs w:val="20"/>
        </w:rPr>
        <w:t xml:space="preserve">mit </w:t>
      </w:r>
      <w:r w:rsidR="006F1E31" w:rsidRPr="006F5483">
        <w:rPr>
          <w:rFonts w:cs="Arial"/>
          <w:bCs/>
          <w:szCs w:val="20"/>
        </w:rPr>
        <w:t>ca. 10</w:t>
      </w:r>
      <w:r w:rsidR="006F5483">
        <w:rPr>
          <w:rFonts w:cs="Arial"/>
          <w:bCs/>
          <w:szCs w:val="20"/>
        </w:rPr>
        <w:t>.</w:t>
      </w:r>
      <w:r w:rsidR="006F1E31" w:rsidRPr="006F5483">
        <w:rPr>
          <w:rFonts w:cs="Arial"/>
          <w:bCs/>
          <w:szCs w:val="20"/>
        </w:rPr>
        <w:t>000</w:t>
      </w:r>
      <w:r w:rsidRPr="003328BA">
        <w:rPr>
          <w:rFonts w:cs="Arial"/>
          <w:bCs/>
          <w:szCs w:val="20"/>
        </w:rPr>
        <w:t xml:space="preserve"> Stellplätzen. </w:t>
      </w:r>
      <w:r w:rsidR="008A5F44" w:rsidRPr="003328BA">
        <w:rPr>
          <w:rFonts w:cs="Arial"/>
          <w:bCs/>
          <w:szCs w:val="20"/>
        </w:rPr>
        <w:t>Um Lieferversprechen</w:t>
      </w:r>
      <w:r w:rsidR="000C285F" w:rsidRPr="003328BA">
        <w:rPr>
          <w:rFonts w:cs="Arial"/>
          <w:bCs/>
          <w:szCs w:val="20"/>
        </w:rPr>
        <w:t xml:space="preserve"> weiter</w:t>
      </w:r>
      <w:r w:rsidR="008A5F44" w:rsidRPr="003328BA">
        <w:rPr>
          <w:rFonts w:cs="Arial"/>
          <w:bCs/>
          <w:szCs w:val="20"/>
        </w:rPr>
        <w:t xml:space="preserve"> einhalten zu können und </w:t>
      </w:r>
      <w:r w:rsidR="00D740E2">
        <w:rPr>
          <w:rFonts w:cs="Arial"/>
          <w:bCs/>
          <w:szCs w:val="20"/>
        </w:rPr>
        <w:t>die Basis für kommendes Wachstum zu legen</w:t>
      </w:r>
      <w:r w:rsidR="008A5F44" w:rsidRPr="003328BA">
        <w:rPr>
          <w:rFonts w:cs="Arial"/>
          <w:bCs/>
          <w:szCs w:val="20"/>
        </w:rPr>
        <w:t xml:space="preserve">, schloss </w:t>
      </w:r>
      <w:r w:rsidR="000C285F" w:rsidRPr="003328BA">
        <w:rPr>
          <w:rFonts w:cs="Arial"/>
          <w:bCs/>
          <w:szCs w:val="20"/>
        </w:rPr>
        <w:t>der Familienbetrieb</w:t>
      </w:r>
      <w:r w:rsidR="008A5F44" w:rsidRPr="003328BA">
        <w:rPr>
          <w:rFonts w:cs="Arial"/>
          <w:bCs/>
          <w:szCs w:val="20"/>
        </w:rPr>
        <w:t xml:space="preserve"> </w:t>
      </w:r>
      <w:r w:rsidR="002E0554">
        <w:rPr>
          <w:rFonts w:cs="Arial"/>
          <w:bCs/>
          <w:szCs w:val="20"/>
        </w:rPr>
        <w:t>eine E</w:t>
      </w:r>
      <w:r w:rsidR="008A5F44" w:rsidRPr="003328BA">
        <w:rPr>
          <w:rFonts w:cs="Arial"/>
          <w:bCs/>
          <w:szCs w:val="20"/>
        </w:rPr>
        <w:t xml:space="preserve">rweiterung aus. „Für Almi ist das Thema Nachhaltigkeit sehr wichtig. Wir </w:t>
      </w:r>
      <w:r w:rsidR="000C285F" w:rsidRPr="003328BA">
        <w:rPr>
          <w:rFonts w:cs="Arial"/>
          <w:bCs/>
          <w:szCs w:val="20"/>
        </w:rPr>
        <w:t>möchten</w:t>
      </w:r>
      <w:r w:rsidR="008A5F44" w:rsidRPr="003328BA">
        <w:rPr>
          <w:rFonts w:cs="Arial"/>
          <w:bCs/>
          <w:szCs w:val="20"/>
        </w:rPr>
        <w:t xml:space="preserve"> keine Grünflächen </w:t>
      </w:r>
      <w:r w:rsidR="008A5F44" w:rsidRPr="003328BA">
        <w:rPr>
          <w:rFonts w:cs="Arial"/>
          <w:bCs/>
          <w:szCs w:val="20"/>
        </w:rPr>
        <w:lastRenderedPageBreak/>
        <w:t>versiegeln, deshalb wollten wir von Anfang an die Bestandsanlage so optimieren, dass wir für die Zukunft</w:t>
      </w:r>
      <w:r w:rsidR="000C285F" w:rsidRPr="003328BA">
        <w:rPr>
          <w:rFonts w:cs="Arial"/>
          <w:bCs/>
          <w:szCs w:val="20"/>
        </w:rPr>
        <w:t xml:space="preserve"> gut</w:t>
      </w:r>
      <w:r w:rsidR="008A5F44" w:rsidRPr="003328BA">
        <w:rPr>
          <w:rFonts w:cs="Arial"/>
          <w:bCs/>
          <w:szCs w:val="20"/>
        </w:rPr>
        <w:t xml:space="preserve"> gerüstet sind“, berichtet Almi-Produktionsleiter Stefan </w:t>
      </w:r>
      <w:r w:rsidR="00627D9A">
        <w:rPr>
          <w:rFonts w:cs="Arial"/>
          <w:bCs/>
          <w:szCs w:val="20"/>
        </w:rPr>
        <w:t>Lackinger</w:t>
      </w:r>
      <w:r w:rsidR="008A5F44" w:rsidRPr="003328BA">
        <w:rPr>
          <w:rFonts w:cs="Arial"/>
          <w:bCs/>
          <w:szCs w:val="20"/>
        </w:rPr>
        <w:t xml:space="preserve">. </w:t>
      </w:r>
    </w:p>
    <w:p w:rsidR="008A5F44" w:rsidRPr="003328BA" w:rsidRDefault="008A5F44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586667" w:rsidRDefault="005E1D57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2006 </w:t>
      </w:r>
      <w:r w:rsidR="002E0554">
        <w:rPr>
          <w:rFonts w:cs="Arial"/>
          <w:bCs/>
          <w:szCs w:val="20"/>
        </w:rPr>
        <w:t>errichtete</w:t>
      </w:r>
      <w:r w:rsidRPr="003328BA">
        <w:rPr>
          <w:rFonts w:cs="Arial"/>
          <w:bCs/>
          <w:szCs w:val="20"/>
        </w:rPr>
        <w:t xml:space="preserve"> </w:t>
      </w:r>
      <w:r w:rsidR="00F113FD">
        <w:rPr>
          <w:rFonts w:cs="Arial"/>
          <w:bCs/>
          <w:szCs w:val="20"/>
        </w:rPr>
        <w:t>Almi</w:t>
      </w:r>
      <w:r w:rsidRPr="003328BA">
        <w:rPr>
          <w:rFonts w:cs="Arial"/>
          <w:bCs/>
          <w:szCs w:val="20"/>
        </w:rPr>
        <w:t xml:space="preserve"> auf </w:t>
      </w:r>
      <w:r w:rsidR="006F1E31">
        <w:rPr>
          <w:rFonts w:cs="Arial"/>
          <w:bCs/>
          <w:szCs w:val="20"/>
        </w:rPr>
        <w:t>ca. 28 000 m</w:t>
      </w:r>
      <w:r w:rsidR="006F1E31" w:rsidRPr="006F5483">
        <w:rPr>
          <w:rFonts w:cs="Arial"/>
          <w:bCs/>
          <w:szCs w:val="20"/>
          <w:vertAlign w:val="superscript"/>
        </w:rPr>
        <w:t>2</w:t>
      </w:r>
      <w:r w:rsidR="006F1E31">
        <w:rPr>
          <w:rFonts w:cs="Arial"/>
          <w:bCs/>
          <w:szCs w:val="20"/>
        </w:rPr>
        <w:t xml:space="preserve"> </w:t>
      </w:r>
      <w:r w:rsidRPr="003328BA">
        <w:rPr>
          <w:rFonts w:cs="Arial"/>
          <w:bCs/>
          <w:szCs w:val="20"/>
        </w:rPr>
        <w:t>Quadratmeter</w:t>
      </w:r>
      <w:r w:rsidR="000C285F" w:rsidRPr="003328BA">
        <w:rPr>
          <w:rFonts w:cs="Arial"/>
          <w:bCs/>
          <w:szCs w:val="20"/>
        </w:rPr>
        <w:t>n Grundfläche</w:t>
      </w:r>
      <w:r w:rsidRPr="003328BA">
        <w:rPr>
          <w:rFonts w:cs="Arial"/>
          <w:bCs/>
          <w:szCs w:val="20"/>
        </w:rPr>
        <w:t xml:space="preserve"> </w:t>
      </w:r>
      <w:r w:rsidR="000C285F" w:rsidRPr="003328BA">
        <w:rPr>
          <w:rFonts w:cs="Arial"/>
          <w:bCs/>
          <w:szCs w:val="20"/>
        </w:rPr>
        <w:t>ein</w:t>
      </w:r>
      <w:r w:rsidR="00F113FD">
        <w:rPr>
          <w:rFonts w:cs="Arial"/>
          <w:bCs/>
          <w:szCs w:val="20"/>
        </w:rPr>
        <w:t xml:space="preserve"> Lager, d</w:t>
      </w:r>
      <w:r w:rsidR="00FB530E" w:rsidRPr="003328BA">
        <w:rPr>
          <w:rFonts w:cs="Arial"/>
          <w:bCs/>
          <w:szCs w:val="20"/>
        </w:rPr>
        <w:t xml:space="preserve">en Zuschlag bekam TGW. Herz </w:t>
      </w:r>
      <w:r w:rsidR="00811B3B">
        <w:rPr>
          <w:rFonts w:cs="Arial"/>
          <w:bCs/>
          <w:szCs w:val="20"/>
        </w:rPr>
        <w:t>des Systems</w:t>
      </w:r>
      <w:r w:rsidR="00FB530E" w:rsidRPr="003328BA">
        <w:rPr>
          <w:rFonts w:cs="Arial"/>
          <w:bCs/>
          <w:szCs w:val="20"/>
        </w:rPr>
        <w:t xml:space="preserve"> ist </w:t>
      </w:r>
      <w:r w:rsidR="00083EA2" w:rsidRPr="003328BA">
        <w:rPr>
          <w:rFonts w:cs="Arial"/>
          <w:bCs/>
          <w:szCs w:val="20"/>
        </w:rPr>
        <w:t xml:space="preserve">das </w:t>
      </w:r>
      <w:r w:rsidR="00811B3B">
        <w:rPr>
          <w:rFonts w:cs="Arial"/>
          <w:bCs/>
          <w:szCs w:val="20"/>
        </w:rPr>
        <w:t>Automatische</w:t>
      </w:r>
      <w:r w:rsidR="00D205EF" w:rsidRPr="003328BA">
        <w:rPr>
          <w:rFonts w:cs="Arial"/>
          <w:bCs/>
          <w:szCs w:val="20"/>
        </w:rPr>
        <w:t xml:space="preserve"> Kleinteilelager (AKL)</w:t>
      </w:r>
      <w:r w:rsidR="00FB530E" w:rsidRPr="003328BA">
        <w:rPr>
          <w:rFonts w:cs="Arial"/>
          <w:bCs/>
          <w:szCs w:val="20"/>
        </w:rPr>
        <w:t xml:space="preserve"> mit drei Gassen</w:t>
      </w:r>
      <w:r w:rsidR="00001DD4" w:rsidRPr="003328BA">
        <w:rPr>
          <w:rFonts w:cs="Arial"/>
          <w:bCs/>
          <w:szCs w:val="20"/>
        </w:rPr>
        <w:t>, Behälterpuffer</w:t>
      </w:r>
      <w:r w:rsidR="009F422E">
        <w:rPr>
          <w:rFonts w:cs="Arial"/>
          <w:bCs/>
          <w:szCs w:val="20"/>
        </w:rPr>
        <w:t xml:space="preserve"> sowie</w:t>
      </w:r>
      <w:r w:rsidR="00627D9A">
        <w:rPr>
          <w:rFonts w:cs="Arial"/>
          <w:bCs/>
          <w:szCs w:val="20"/>
        </w:rPr>
        <w:t xml:space="preserve"> Behälterförde</w:t>
      </w:r>
      <w:r w:rsidR="009F422E">
        <w:rPr>
          <w:rFonts w:cs="Arial"/>
          <w:bCs/>
          <w:szCs w:val="20"/>
        </w:rPr>
        <w:t>r-</w:t>
      </w:r>
      <w:r w:rsidR="00001DD4" w:rsidRPr="003328BA">
        <w:rPr>
          <w:rFonts w:cs="Arial"/>
          <w:bCs/>
          <w:szCs w:val="20"/>
        </w:rPr>
        <w:t xml:space="preserve"> und Palettenfördertechnik</w:t>
      </w:r>
      <w:r w:rsidR="00627D9A">
        <w:rPr>
          <w:rFonts w:cs="Arial"/>
          <w:bCs/>
          <w:szCs w:val="20"/>
        </w:rPr>
        <w:t xml:space="preserve"> auf </w:t>
      </w:r>
      <w:r w:rsidR="009F422E">
        <w:rPr>
          <w:rFonts w:cs="Arial"/>
          <w:bCs/>
          <w:szCs w:val="20"/>
        </w:rPr>
        <w:t>drei</w:t>
      </w:r>
      <w:r w:rsidR="00627D9A">
        <w:rPr>
          <w:rFonts w:cs="Arial"/>
          <w:bCs/>
          <w:szCs w:val="20"/>
        </w:rPr>
        <w:t xml:space="preserve"> Ebenen</w:t>
      </w:r>
      <w:r w:rsidR="00FB530E" w:rsidRPr="003328BA">
        <w:rPr>
          <w:rFonts w:cs="Arial"/>
          <w:bCs/>
          <w:szCs w:val="20"/>
        </w:rPr>
        <w:t xml:space="preserve">. Um </w:t>
      </w:r>
      <w:r w:rsidR="00825BE6" w:rsidRPr="003328BA">
        <w:rPr>
          <w:rFonts w:cs="Arial"/>
          <w:bCs/>
          <w:szCs w:val="20"/>
        </w:rPr>
        <w:t>die Intralogistik leistungsfähiger zu machen</w:t>
      </w:r>
      <w:r w:rsidR="00001DD4" w:rsidRPr="003328BA">
        <w:rPr>
          <w:rFonts w:cs="Arial"/>
          <w:bCs/>
          <w:szCs w:val="20"/>
        </w:rPr>
        <w:t>,</w:t>
      </w:r>
      <w:r w:rsidR="00FB530E" w:rsidRPr="003328BA">
        <w:rPr>
          <w:rFonts w:cs="Arial"/>
          <w:bCs/>
          <w:szCs w:val="20"/>
        </w:rPr>
        <w:t xml:space="preserve"> wurde</w:t>
      </w:r>
      <w:r w:rsidR="003D34D5" w:rsidRPr="003328BA">
        <w:rPr>
          <w:rFonts w:cs="Arial"/>
          <w:bCs/>
          <w:szCs w:val="20"/>
        </w:rPr>
        <w:t xml:space="preserve"> </w:t>
      </w:r>
      <w:r w:rsidR="002E0554">
        <w:rPr>
          <w:rFonts w:cs="Arial"/>
          <w:bCs/>
          <w:szCs w:val="20"/>
        </w:rPr>
        <w:t>die Anlage</w:t>
      </w:r>
      <w:r w:rsidR="00825BE6" w:rsidRPr="003328BA">
        <w:rPr>
          <w:rFonts w:cs="Arial"/>
          <w:bCs/>
          <w:szCs w:val="20"/>
        </w:rPr>
        <w:t xml:space="preserve"> </w:t>
      </w:r>
      <w:r w:rsidR="00FB530E" w:rsidRPr="003328BA">
        <w:rPr>
          <w:rFonts w:cs="Arial"/>
          <w:bCs/>
          <w:szCs w:val="20"/>
        </w:rPr>
        <w:t xml:space="preserve">mit </w:t>
      </w:r>
      <w:r w:rsidR="00930E10">
        <w:rPr>
          <w:rFonts w:cs="Arial"/>
          <w:bCs/>
          <w:szCs w:val="20"/>
        </w:rPr>
        <w:t>energieeffizienter</w:t>
      </w:r>
      <w:r w:rsidR="003D34D5" w:rsidRPr="003328BA">
        <w:rPr>
          <w:rFonts w:cs="Arial"/>
          <w:bCs/>
          <w:szCs w:val="20"/>
        </w:rPr>
        <w:t xml:space="preserve"> Fördertechnik ausgestattet.</w:t>
      </w:r>
      <w:r w:rsidR="00825BE6" w:rsidRPr="003328BA">
        <w:rPr>
          <w:rFonts w:cs="Arial"/>
          <w:bCs/>
          <w:szCs w:val="20"/>
        </w:rPr>
        <w:t xml:space="preserve"> Almi ruhte sich</w:t>
      </w:r>
      <w:r w:rsidR="00A54BCC">
        <w:rPr>
          <w:rFonts w:cs="Arial"/>
          <w:bCs/>
          <w:szCs w:val="20"/>
        </w:rPr>
        <w:t xml:space="preserve"> jedoch</w:t>
      </w:r>
      <w:r w:rsidR="00B23A96">
        <w:rPr>
          <w:rFonts w:cs="Arial"/>
          <w:bCs/>
          <w:szCs w:val="20"/>
        </w:rPr>
        <w:t xml:space="preserve"> nicht auf dem Status Quo aus:</w:t>
      </w:r>
      <w:r w:rsidR="003D34D5" w:rsidRPr="003328BA">
        <w:rPr>
          <w:rFonts w:cs="Arial"/>
          <w:bCs/>
          <w:szCs w:val="20"/>
        </w:rPr>
        <w:t xml:space="preserve"> </w:t>
      </w:r>
      <w:r w:rsidR="002E0554">
        <w:rPr>
          <w:rFonts w:cs="Arial"/>
          <w:bCs/>
          <w:szCs w:val="20"/>
        </w:rPr>
        <w:t xml:space="preserve">2017 beauftragte der </w:t>
      </w:r>
      <w:r w:rsidR="00A54BCC">
        <w:rPr>
          <w:rFonts w:cs="Arial"/>
          <w:bCs/>
          <w:szCs w:val="20"/>
        </w:rPr>
        <w:t xml:space="preserve">Gewürzspezialist </w:t>
      </w:r>
      <w:r w:rsidR="003D34D5" w:rsidRPr="003328BA">
        <w:rPr>
          <w:rFonts w:cs="Arial"/>
          <w:bCs/>
          <w:szCs w:val="20"/>
        </w:rPr>
        <w:t xml:space="preserve">TGW mit der </w:t>
      </w:r>
      <w:r w:rsidR="00B23A96">
        <w:rPr>
          <w:rFonts w:cs="Arial"/>
          <w:bCs/>
          <w:szCs w:val="20"/>
        </w:rPr>
        <w:t>Aktualisierung</w:t>
      </w:r>
      <w:r w:rsidR="003D34D5" w:rsidRPr="003328BA">
        <w:rPr>
          <w:rFonts w:cs="Arial"/>
          <w:bCs/>
          <w:szCs w:val="20"/>
        </w:rPr>
        <w:t xml:space="preserve"> des Warehouse Management Systems (WMS)</w:t>
      </w:r>
      <w:r w:rsidR="00440D4C">
        <w:rPr>
          <w:rFonts w:cs="Arial"/>
          <w:bCs/>
          <w:szCs w:val="20"/>
        </w:rPr>
        <w:t>.</w:t>
      </w:r>
    </w:p>
    <w:p w:rsidR="00811B3B" w:rsidRDefault="00811B3B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811B3B" w:rsidRPr="00811B3B" w:rsidRDefault="00811B3B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811B3B">
        <w:rPr>
          <w:rFonts w:cs="Arial"/>
          <w:b/>
          <w:bCs/>
          <w:szCs w:val="20"/>
        </w:rPr>
        <w:t>Gemeinsam in eine grüne Zukunft</w:t>
      </w:r>
    </w:p>
    <w:p w:rsidR="00811B3B" w:rsidRPr="003328BA" w:rsidRDefault="00811B3B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8A5F44" w:rsidRPr="003328BA" w:rsidRDefault="00440D4C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Mit dem Ablauf zeigte sich Almi sehr zufrieden. </w:t>
      </w:r>
      <w:r w:rsidR="00586667" w:rsidRPr="003328BA">
        <w:rPr>
          <w:rFonts w:cs="Arial"/>
          <w:bCs/>
          <w:szCs w:val="20"/>
        </w:rPr>
        <w:t xml:space="preserve">Daher bekam TGW </w:t>
      </w:r>
      <w:r w:rsidR="00811B3B" w:rsidRPr="003328BA">
        <w:rPr>
          <w:rFonts w:cs="Arial"/>
          <w:bCs/>
          <w:szCs w:val="20"/>
        </w:rPr>
        <w:t xml:space="preserve">auch </w:t>
      </w:r>
      <w:r w:rsidR="00586667" w:rsidRPr="003328BA">
        <w:rPr>
          <w:rFonts w:cs="Arial"/>
          <w:bCs/>
          <w:szCs w:val="20"/>
        </w:rPr>
        <w:t>den Zuschlag, als es darum ging, Almi</w:t>
      </w:r>
      <w:r w:rsidR="00825BE6" w:rsidRPr="003328BA">
        <w:rPr>
          <w:rFonts w:cs="Arial"/>
          <w:bCs/>
          <w:szCs w:val="20"/>
        </w:rPr>
        <w:t xml:space="preserve"> als </w:t>
      </w:r>
      <w:r w:rsidR="00B23A96">
        <w:rPr>
          <w:rFonts w:cs="Arial"/>
          <w:bCs/>
          <w:szCs w:val="20"/>
        </w:rPr>
        <w:t>Partner of Choice</w:t>
      </w:r>
      <w:r w:rsidR="00586667" w:rsidRPr="003328BA">
        <w:rPr>
          <w:rFonts w:cs="Arial"/>
          <w:bCs/>
          <w:szCs w:val="20"/>
        </w:rPr>
        <w:t xml:space="preserve"> auf dem Weg in eine „grüne Zukunft“ zu begleiten. Der initia</w:t>
      </w:r>
      <w:r w:rsidR="00930E10">
        <w:rPr>
          <w:rFonts w:cs="Arial"/>
          <w:bCs/>
          <w:szCs w:val="20"/>
        </w:rPr>
        <w:t xml:space="preserve">le Impuls </w:t>
      </w:r>
      <w:r w:rsidR="00AD2D02" w:rsidRPr="003328BA">
        <w:rPr>
          <w:rFonts w:cs="Arial"/>
          <w:bCs/>
          <w:szCs w:val="20"/>
        </w:rPr>
        <w:t xml:space="preserve">kam von den </w:t>
      </w:r>
      <w:r w:rsidR="00170FFB">
        <w:rPr>
          <w:rFonts w:cs="Arial"/>
          <w:bCs/>
          <w:szCs w:val="20"/>
        </w:rPr>
        <w:t xml:space="preserve">TGW </w:t>
      </w:r>
      <w:r w:rsidR="00AD2D02" w:rsidRPr="003328BA">
        <w:rPr>
          <w:rFonts w:cs="Arial"/>
          <w:bCs/>
          <w:szCs w:val="20"/>
        </w:rPr>
        <w:t>Retrofit-Experten</w:t>
      </w:r>
      <w:r w:rsidR="00B23A96">
        <w:rPr>
          <w:rFonts w:cs="Arial"/>
          <w:bCs/>
          <w:szCs w:val="20"/>
        </w:rPr>
        <w:t xml:space="preserve">, die ein Konzept </w:t>
      </w:r>
      <w:r w:rsidR="00AD2D02" w:rsidRPr="003328BA">
        <w:rPr>
          <w:rFonts w:cs="Arial"/>
          <w:bCs/>
          <w:szCs w:val="20"/>
        </w:rPr>
        <w:t>aus mehreren Bestandteilen</w:t>
      </w:r>
      <w:r w:rsidR="00B23A96">
        <w:rPr>
          <w:rFonts w:cs="Arial"/>
          <w:bCs/>
          <w:szCs w:val="20"/>
        </w:rPr>
        <w:t xml:space="preserve"> präsentierten</w:t>
      </w:r>
      <w:r w:rsidR="00AD2D02" w:rsidRPr="003328BA">
        <w:rPr>
          <w:rFonts w:cs="Arial"/>
          <w:bCs/>
          <w:szCs w:val="20"/>
        </w:rPr>
        <w:t>: dem Wechsel eines Regalbediengeräts, dem Mec</w:t>
      </w:r>
      <w:r w:rsidR="00170FFB">
        <w:rPr>
          <w:rFonts w:cs="Arial"/>
          <w:bCs/>
          <w:szCs w:val="20"/>
        </w:rPr>
        <w:t>hatroniktausch des Commissioner-Hubbalkensystems</w:t>
      </w:r>
      <w:r w:rsidR="00AD2D02" w:rsidRPr="003328BA">
        <w:rPr>
          <w:rFonts w:cs="Arial"/>
          <w:bCs/>
          <w:szCs w:val="20"/>
        </w:rPr>
        <w:t>, der Modernisierung von drei Verschiebewagen und eines Riemenhebers sowie dem Einsatz neuer Steuer</w:t>
      </w:r>
      <w:r w:rsidR="00811B3B">
        <w:rPr>
          <w:rFonts w:cs="Arial"/>
          <w:bCs/>
          <w:szCs w:val="20"/>
        </w:rPr>
        <w:t>technik.</w:t>
      </w:r>
    </w:p>
    <w:p w:rsidR="00484C2B" w:rsidRPr="003328BA" w:rsidRDefault="00484C2B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176D8A" w:rsidRDefault="00484C2B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>Die Retrofit</w:t>
      </w:r>
      <w:r w:rsidR="00D205EF" w:rsidRPr="003328BA">
        <w:rPr>
          <w:rFonts w:cs="Arial"/>
          <w:bCs/>
          <w:szCs w:val="20"/>
        </w:rPr>
        <w:t>-Fachleute</w:t>
      </w:r>
      <w:r w:rsidRPr="003328BA">
        <w:rPr>
          <w:rFonts w:cs="Arial"/>
          <w:bCs/>
          <w:szCs w:val="20"/>
        </w:rPr>
        <w:t xml:space="preserve"> gingen mit ihren Vorschlägen </w:t>
      </w:r>
      <w:r w:rsidR="00440D4C" w:rsidRPr="003328BA">
        <w:rPr>
          <w:rFonts w:cs="Arial"/>
          <w:bCs/>
          <w:szCs w:val="20"/>
        </w:rPr>
        <w:t xml:space="preserve">proaktiv auf Almi </w:t>
      </w:r>
      <w:r w:rsidRPr="003328BA">
        <w:rPr>
          <w:rFonts w:cs="Arial"/>
          <w:bCs/>
          <w:szCs w:val="20"/>
        </w:rPr>
        <w:t xml:space="preserve">zu, weil sie in der Dokumentation sahen, dass </w:t>
      </w:r>
      <w:r w:rsidR="00D205EF" w:rsidRPr="003328BA">
        <w:rPr>
          <w:rFonts w:cs="Arial"/>
          <w:bCs/>
          <w:szCs w:val="20"/>
        </w:rPr>
        <w:t>einige</w:t>
      </w:r>
      <w:r w:rsidRPr="003328BA">
        <w:rPr>
          <w:rFonts w:cs="Arial"/>
          <w:bCs/>
          <w:szCs w:val="20"/>
        </w:rPr>
        <w:t xml:space="preserve"> Komponenten bereits </w:t>
      </w:r>
      <w:r w:rsidR="00D205EF" w:rsidRPr="003328BA">
        <w:rPr>
          <w:rFonts w:cs="Arial"/>
          <w:bCs/>
          <w:szCs w:val="20"/>
        </w:rPr>
        <w:t>älteren Datums waren</w:t>
      </w:r>
      <w:r w:rsidR="006E5522" w:rsidRPr="003328BA">
        <w:rPr>
          <w:rFonts w:cs="Arial"/>
          <w:bCs/>
          <w:szCs w:val="20"/>
        </w:rPr>
        <w:t>. Es bestand</w:t>
      </w:r>
      <w:r w:rsidRPr="003328BA">
        <w:rPr>
          <w:rFonts w:cs="Arial"/>
          <w:bCs/>
          <w:szCs w:val="20"/>
        </w:rPr>
        <w:t xml:space="preserve"> die Gefahr, dass sie im Fall der Fälle teu</w:t>
      </w:r>
      <w:r w:rsidR="002E0554">
        <w:rPr>
          <w:rFonts w:cs="Arial"/>
          <w:bCs/>
          <w:szCs w:val="20"/>
        </w:rPr>
        <w:t>r</w:t>
      </w:r>
      <w:r w:rsidRPr="003328BA">
        <w:rPr>
          <w:rFonts w:cs="Arial"/>
          <w:bCs/>
          <w:szCs w:val="20"/>
        </w:rPr>
        <w:t>er</w:t>
      </w:r>
      <w:r w:rsidR="002E0554">
        <w:rPr>
          <w:rFonts w:cs="Arial"/>
          <w:bCs/>
          <w:szCs w:val="20"/>
        </w:rPr>
        <w:t xml:space="preserve"> würden oder </w:t>
      </w:r>
      <w:r w:rsidRPr="003328BA">
        <w:rPr>
          <w:rFonts w:cs="Arial"/>
          <w:bCs/>
          <w:szCs w:val="20"/>
        </w:rPr>
        <w:t xml:space="preserve">gar nicht mehr zu bekommen </w:t>
      </w:r>
      <w:r w:rsidR="002E0554">
        <w:rPr>
          <w:rFonts w:cs="Arial"/>
          <w:bCs/>
          <w:szCs w:val="20"/>
        </w:rPr>
        <w:t>wären</w:t>
      </w:r>
      <w:r w:rsidRPr="003328BA">
        <w:rPr>
          <w:rFonts w:cs="Arial"/>
          <w:bCs/>
          <w:szCs w:val="20"/>
        </w:rPr>
        <w:t xml:space="preserve">. </w:t>
      </w:r>
      <w:r w:rsidR="009359D3" w:rsidRPr="003328BA">
        <w:rPr>
          <w:rFonts w:cs="Arial"/>
          <w:bCs/>
          <w:szCs w:val="20"/>
        </w:rPr>
        <w:t xml:space="preserve">TGW stellte mehrere </w:t>
      </w:r>
      <w:r w:rsidR="00A54BCC">
        <w:rPr>
          <w:rFonts w:cs="Arial"/>
          <w:bCs/>
          <w:szCs w:val="20"/>
        </w:rPr>
        <w:t>V</w:t>
      </w:r>
      <w:r w:rsidR="00811B3B">
        <w:rPr>
          <w:rFonts w:cs="Arial"/>
          <w:bCs/>
          <w:szCs w:val="20"/>
        </w:rPr>
        <w:t xml:space="preserve">arianten </w:t>
      </w:r>
      <w:r w:rsidR="009359D3" w:rsidRPr="003328BA">
        <w:rPr>
          <w:rFonts w:cs="Arial"/>
          <w:bCs/>
          <w:szCs w:val="20"/>
        </w:rPr>
        <w:t xml:space="preserve">zusammen, aus </w:t>
      </w:r>
      <w:r w:rsidR="00811B3B">
        <w:rPr>
          <w:rFonts w:cs="Arial"/>
          <w:bCs/>
          <w:szCs w:val="20"/>
        </w:rPr>
        <w:t>denen</w:t>
      </w:r>
      <w:r w:rsidR="009359D3" w:rsidRPr="003328BA">
        <w:rPr>
          <w:rFonts w:cs="Arial"/>
          <w:bCs/>
          <w:szCs w:val="20"/>
        </w:rPr>
        <w:t xml:space="preserve"> Almi eine wählte. „Im Bereich Retrofit ist jedes Projekt </w:t>
      </w:r>
      <w:r w:rsidR="008F535B" w:rsidRPr="003328BA">
        <w:rPr>
          <w:rFonts w:cs="Arial"/>
          <w:bCs/>
          <w:szCs w:val="20"/>
        </w:rPr>
        <w:t>kundenspezifisch</w:t>
      </w:r>
      <w:r w:rsidR="009359D3" w:rsidRPr="003328BA">
        <w:rPr>
          <w:rFonts w:cs="Arial"/>
          <w:bCs/>
          <w:szCs w:val="20"/>
        </w:rPr>
        <w:t xml:space="preserve"> – </w:t>
      </w:r>
      <w:r w:rsidR="00A213E2" w:rsidRPr="003328BA">
        <w:rPr>
          <w:rFonts w:cs="Arial"/>
          <w:bCs/>
          <w:szCs w:val="20"/>
        </w:rPr>
        <w:t>daher ist Erfahrung enorm wichtig</w:t>
      </w:r>
      <w:r w:rsidR="009359D3" w:rsidRPr="003328BA">
        <w:rPr>
          <w:rFonts w:cs="Arial"/>
          <w:bCs/>
          <w:szCs w:val="20"/>
        </w:rPr>
        <w:t xml:space="preserve">“, betont Josef </w:t>
      </w:r>
      <w:r w:rsidR="00170FFB">
        <w:rPr>
          <w:rFonts w:cs="Arial"/>
          <w:bCs/>
          <w:szCs w:val="20"/>
        </w:rPr>
        <w:t>Fritz</w:t>
      </w:r>
      <w:r w:rsidR="00001DD4" w:rsidRPr="003328BA">
        <w:rPr>
          <w:rFonts w:cs="Arial"/>
          <w:bCs/>
          <w:szCs w:val="20"/>
        </w:rPr>
        <w:t xml:space="preserve">, </w:t>
      </w:r>
      <w:r w:rsidR="00811B3B">
        <w:rPr>
          <w:rFonts w:cs="Arial"/>
          <w:bCs/>
          <w:szCs w:val="20"/>
        </w:rPr>
        <w:t>Sales Project Manager</w:t>
      </w:r>
      <w:r w:rsidR="00001DD4" w:rsidRPr="003328BA">
        <w:rPr>
          <w:rFonts w:cs="Arial"/>
          <w:bCs/>
          <w:szCs w:val="20"/>
        </w:rPr>
        <w:t xml:space="preserve"> bei TGW. </w:t>
      </w:r>
    </w:p>
    <w:p w:rsidR="001D6321" w:rsidRDefault="001D6321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1D6321" w:rsidRPr="001D6321" w:rsidRDefault="001D6321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1D6321">
        <w:rPr>
          <w:rFonts w:cs="Arial"/>
          <w:b/>
          <w:bCs/>
          <w:szCs w:val="20"/>
        </w:rPr>
        <w:t>Energieeffiziente Regalbediengeräte Mustang E+</w:t>
      </w:r>
    </w:p>
    <w:p w:rsidR="00176D8A" w:rsidRPr="003328BA" w:rsidRDefault="00176D8A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:rsidR="008B727F" w:rsidRDefault="00176D8A" w:rsidP="00C32C8B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Ein Teil des mittleren sechsstelligen Investments wurde für den Austausch des Regalbediengeräts eingeplant. TGW sah dafür das hochdynamische Mustang E+-Regalbediengerät der neuesten Generation vor. </w:t>
      </w:r>
      <w:r w:rsidR="00B23A96">
        <w:rPr>
          <w:rFonts w:cs="Arial"/>
          <w:bCs/>
          <w:szCs w:val="20"/>
        </w:rPr>
        <w:t>Dessen</w:t>
      </w:r>
      <w:r w:rsidRPr="003328BA">
        <w:rPr>
          <w:rFonts w:cs="Arial"/>
          <w:bCs/>
          <w:szCs w:val="20"/>
        </w:rPr>
        <w:t xml:space="preserve"> Vorteile: Gegenüber </w:t>
      </w:r>
      <w:r w:rsidR="00FA4F62" w:rsidRPr="003328BA">
        <w:rPr>
          <w:rFonts w:cs="Arial"/>
          <w:bCs/>
          <w:szCs w:val="20"/>
        </w:rPr>
        <w:t>älteren Geräten</w:t>
      </w:r>
      <w:r w:rsidR="005847C6" w:rsidRPr="003328BA">
        <w:rPr>
          <w:rFonts w:cs="Arial"/>
          <w:bCs/>
          <w:szCs w:val="20"/>
        </w:rPr>
        <w:t xml:space="preserve"> wiegt es weniger, besitzt eine moderne Steuerung und kommt ohne Antipendeltechnologie aus. Dadurch lässt sich Energie sparen. Im Retrofitbereich verhält es sich grundsätzlich wie in </w:t>
      </w:r>
      <w:r w:rsidR="00FA4F62" w:rsidRPr="003328BA">
        <w:rPr>
          <w:rFonts w:cs="Arial"/>
          <w:bCs/>
          <w:szCs w:val="20"/>
        </w:rPr>
        <w:t>einer</w:t>
      </w:r>
      <w:r w:rsidR="005847C6" w:rsidRPr="003328BA">
        <w:rPr>
          <w:rFonts w:cs="Arial"/>
          <w:bCs/>
          <w:szCs w:val="20"/>
        </w:rPr>
        <w:t xml:space="preserve"> Küche: Das beste Rezept </w:t>
      </w:r>
      <w:r w:rsidR="00FA4F62" w:rsidRPr="003328BA">
        <w:rPr>
          <w:rFonts w:cs="Arial"/>
          <w:bCs/>
          <w:szCs w:val="20"/>
        </w:rPr>
        <w:t>bringt keine Gaumenfreude</w:t>
      </w:r>
      <w:r w:rsidR="005847C6" w:rsidRPr="003328BA">
        <w:rPr>
          <w:rFonts w:cs="Arial"/>
          <w:bCs/>
          <w:szCs w:val="20"/>
        </w:rPr>
        <w:t>, wenn der Koch unerfahren ist. TGW blickt auf mehr als ein halbes</w:t>
      </w:r>
      <w:r w:rsidR="00F51C70">
        <w:rPr>
          <w:rFonts w:cs="Arial"/>
          <w:bCs/>
          <w:szCs w:val="20"/>
        </w:rPr>
        <w:t xml:space="preserve"> Jahrhundert Erfahrung zurück, s</w:t>
      </w:r>
      <w:r w:rsidR="005847C6" w:rsidRPr="003328BA">
        <w:rPr>
          <w:rFonts w:cs="Arial"/>
          <w:bCs/>
          <w:szCs w:val="20"/>
        </w:rPr>
        <w:t xml:space="preserve">peziell der Bereich </w:t>
      </w:r>
      <w:r w:rsidR="00C32C8B" w:rsidRPr="003328BA">
        <w:rPr>
          <w:rFonts w:cs="Arial"/>
          <w:bCs/>
          <w:szCs w:val="20"/>
        </w:rPr>
        <w:t xml:space="preserve">Retrofit wächst </w:t>
      </w:r>
      <w:r w:rsidR="003806C2">
        <w:rPr>
          <w:rFonts w:cs="Arial"/>
          <w:bCs/>
          <w:szCs w:val="20"/>
        </w:rPr>
        <w:t>stark</w:t>
      </w:r>
      <w:r w:rsidR="00C32C8B" w:rsidRPr="003328BA">
        <w:rPr>
          <w:rFonts w:cs="Arial"/>
          <w:bCs/>
          <w:szCs w:val="20"/>
        </w:rPr>
        <w:t xml:space="preserve">. Der </w:t>
      </w:r>
      <w:r w:rsidR="00FA4F62" w:rsidRPr="003328BA">
        <w:rPr>
          <w:rFonts w:cs="Arial"/>
          <w:bCs/>
          <w:szCs w:val="20"/>
        </w:rPr>
        <w:t>Systemintegrator</w:t>
      </w:r>
      <w:r w:rsidR="00C32C8B" w:rsidRPr="003328BA">
        <w:rPr>
          <w:rFonts w:cs="Arial"/>
          <w:bCs/>
          <w:szCs w:val="20"/>
        </w:rPr>
        <w:t xml:space="preserve"> wickelt heute pro Jahr fünfmal so viele Projekte ab wie noch vor zehn Jahren – und geht bei jedem Vorhaben systematisch vor. „Ein Anlagenstillstand wäre für jeden Supply Chain Manager </w:t>
      </w:r>
      <w:r w:rsidR="00C32C8B" w:rsidRPr="003328BA">
        <w:rPr>
          <w:rFonts w:cs="Arial"/>
          <w:bCs/>
          <w:szCs w:val="20"/>
        </w:rPr>
        <w:lastRenderedPageBreak/>
        <w:t xml:space="preserve">ein </w:t>
      </w:r>
      <w:r w:rsidR="00FA4F62" w:rsidRPr="003328BA">
        <w:rPr>
          <w:rFonts w:cs="Arial"/>
          <w:bCs/>
          <w:szCs w:val="20"/>
        </w:rPr>
        <w:t>Desaster</w:t>
      </w:r>
      <w:r w:rsidR="00C32C8B" w:rsidRPr="003328BA">
        <w:rPr>
          <w:rFonts w:cs="Arial"/>
          <w:bCs/>
          <w:szCs w:val="20"/>
        </w:rPr>
        <w:t xml:space="preserve">“, </w:t>
      </w:r>
      <w:r w:rsidR="003806C2">
        <w:rPr>
          <w:rFonts w:cs="Arial"/>
          <w:bCs/>
          <w:szCs w:val="20"/>
        </w:rPr>
        <w:t>betont</w:t>
      </w:r>
      <w:r w:rsidR="00C32C8B" w:rsidRPr="003328BA">
        <w:rPr>
          <w:rFonts w:cs="Arial"/>
          <w:bCs/>
          <w:szCs w:val="20"/>
        </w:rPr>
        <w:t xml:space="preserve"> Markus Kammerhofer</w:t>
      </w:r>
      <w:r w:rsidR="00FA4F62" w:rsidRPr="003328BA">
        <w:rPr>
          <w:rFonts w:cs="Arial"/>
          <w:bCs/>
          <w:szCs w:val="20"/>
        </w:rPr>
        <w:t xml:space="preserve">, </w:t>
      </w:r>
      <w:r w:rsidR="00804A80">
        <w:rPr>
          <w:rFonts w:cs="Arial"/>
          <w:bCs/>
          <w:szCs w:val="20"/>
        </w:rPr>
        <w:t>Director</w:t>
      </w:r>
      <w:r w:rsidR="00FA4F62" w:rsidRPr="003328BA">
        <w:rPr>
          <w:rFonts w:cs="Arial"/>
          <w:bCs/>
          <w:szCs w:val="20"/>
        </w:rPr>
        <w:t xml:space="preserve"> Sales</w:t>
      </w:r>
      <w:r w:rsidR="00804A80">
        <w:rPr>
          <w:rFonts w:cs="Arial"/>
          <w:bCs/>
          <w:szCs w:val="20"/>
        </w:rPr>
        <w:t xml:space="preserve"> Retrofit bei TGW</w:t>
      </w:r>
      <w:r w:rsidR="00C32C8B" w:rsidRPr="003328BA">
        <w:rPr>
          <w:rFonts w:cs="Arial"/>
          <w:bCs/>
          <w:szCs w:val="20"/>
        </w:rPr>
        <w:t xml:space="preserve">. Im Laufe der Jahre stellte TGW </w:t>
      </w:r>
      <w:r w:rsidR="008B727F">
        <w:rPr>
          <w:rFonts w:cs="Arial"/>
          <w:bCs/>
          <w:szCs w:val="20"/>
        </w:rPr>
        <w:t>sieben Erfolgsfaktoren zusammen:</w:t>
      </w:r>
    </w:p>
    <w:p w:rsidR="00C32C8B" w:rsidRPr="008B727F" w:rsidRDefault="008B727F" w:rsidP="008B727F">
      <w:pPr>
        <w:tabs>
          <w:tab w:val="left" w:pos="1534"/>
        </w:tabs>
        <w:spacing w:line="360" w:lineRule="auto"/>
        <w:ind w:left="0" w:right="1693"/>
        <w:rPr>
          <w:rFonts w:cs="Arial"/>
          <w:bCs/>
          <w:sz w:val="18"/>
          <w:szCs w:val="18"/>
        </w:rPr>
      </w:pPr>
      <w:r>
        <w:rPr>
          <w:rFonts w:cs="Arial"/>
          <w:bCs/>
          <w:szCs w:val="20"/>
        </w:rPr>
        <w:tab/>
      </w:r>
    </w:p>
    <w:p w:rsidR="00C32C8B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>Vorlaufzeit beachten und rechtzeitig starten</w:t>
      </w:r>
    </w:p>
    <w:p w:rsidR="00C32C8B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Erfahrene Partner und Projektmanager wählen </w:t>
      </w:r>
    </w:p>
    <w:p w:rsidR="00C32C8B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Strukturierten Plan erarbeiten </w:t>
      </w:r>
    </w:p>
    <w:p w:rsidR="00C32C8B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>Speziell entwickelte Retrofitlösungen integrieren</w:t>
      </w:r>
    </w:p>
    <w:p w:rsidR="00C32C8B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Ausführliches Pflichtenheft erstellen </w:t>
      </w:r>
    </w:p>
    <w:p w:rsidR="00C32C8B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>Migrationsschritte genau definieren</w:t>
      </w:r>
    </w:p>
    <w:p w:rsidR="005847C6" w:rsidRPr="003328BA" w:rsidRDefault="00C32C8B" w:rsidP="008B727F">
      <w:pPr>
        <w:pStyle w:val="Listenabsatz"/>
        <w:numPr>
          <w:ilvl w:val="0"/>
          <w:numId w:val="24"/>
        </w:numPr>
        <w:spacing w:line="240" w:lineRule="auto"/>
        <w:ind w:left="714" w:right="1695" w:hanging="357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>Mitarbeiter intensiv schulen</w:t>
      </w:r>
    </w:p>
    <w:p w:rsidR="00C32C8B" w:rsidRDefault="00C32C8B" w:rsidP="00F67286">
      <w:pPr>
        <w:spacing w:line="360" w:lineRule="auto"/>
        <w:ind w:left="0" w:right="1693"/>
        <w:rPr>
          <w:rFonts w:cs="Arial"/>
          <w:bCs/>
          <w:sz w:val="18"/>
          <w:szCs w:val="18"/>
        </w:rPr>
      </w:pPr>
    </w:p>
    <w:p w:rsidR="00FB7C90" w:rsidRPr="008B727F" w:rsidRDefault="00FB7C90" w:rsidP="00F67286">
      <w:pPr>
        <w:spacing w:line="360" w:lineRule="auto"/>
        <w:ind w:left="0" w:right="1693"/>
        <w:rPr>
          <w:rFonts w:cs="Arial"/>
          <w:bCs/>
          <w:sz w:val="18"/>
          <w:szCs w:val="18"/>
        </w:rPr>
      </w:pPr>
    </w:p>
    <w:p w:rsidR="00F51C70" w:rsidRPr="00F51C70" w:rsidRDefault="00B23A96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Planung und Vorbereitung als Erfolgsfaktoren</w:t>
      </w:r>
    </w:p>
    <w:p w:rsidR="00F51C70" w:rsidRPr="008B727F" w:rsidRDefault="00F51C70" w:rsidP="00F67286">
      <w:pPr>
        <w:spacing w:line="360" w:lineRule="auto"/>
        <w:ind w:left="0" w:right="1693"/>
        <w:rPr>
          <w:rFonts w:cs="Arial"/>
          <w:bCs/>
          <w:sz w:val="18"/>
          <w:szCs w:val="18"/>
        </w:rPr>
      </w:pPr>
    </w:p>
    <w:p w:rsidR="005A593A" w:rsidRPr="003328BA" w:rsidRDefault="00A865BA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Anfang 2021 gab es das erste Treffen, </w:t>
      </w:r>
      <w:r w:rsidR="00705524" w:rsidRPr="003328BA">
        <w:rPr>
          <w:rFonts w:cs="Arial"/>
          <w:bCs/>
          <w:szCs w:val="20"/>
        </w:rPr>
        <w:t xml:space="preserve">im Sommer </w:t>
      </w:r>
      <w:r w:rsidR="00FB7C90">
        <w:rPr>
          <w:rFonts w:cs="Arial"/>
          <w:bCs/>
          <w:szCs w:val="20"/>
        </w:rPr>
        <w:t>erarbeitete</w:t>
      </w:r>
      <w:r w:rsidR="00705524" w:rsidRPr="003328BA">
        <w:rPr>
          <w:rFonts w:cs="Arial"/>
          <w:bCs/>
          <w:szCs w:val="20"/>
        </w:rPr>
        <w:t xml:space="preserve"> das </w:t>
      </w:r>
      <w:r w:rsidR="00865C79">
        <w:rPr>
          <w:rFonts w:cs="Arial"/>
          <w:bCs/>
          <w:szCs w:val="20"/>
        </w:rPr>
        <w:t>Team</w:t>
      </w:r>
      <w:r w:rsidR="00705524" w:rsidRPr="003328BA">
        <w:rPr>
          <w:rFonts w:cs="Arial"/>
          <w:bCs/>
          <w:szCs w:val="20"/>
        </w:rPr>
        <w:t xml:space="preserve"> einen P</w:t>
      </w:r>
      <w:r w:rsidR="00865C79">
        <w:rPr>
          <w:rFonts w:cs="Arial"/>
          <w:bCs/>
          <w:szCs w:val="20"/>
        </w:rPr>
        <w:t>rojektp</w:t>
      </w:r>
      <w:r w:rsidR="00705524" w:rsidRPr="003328BA">
        <w:rPr>
          <w:rFonts w:cs="Arial"/>
          <w:bCs/>
          <w:szCs w:val="20"/>
        </w:rPr>
        <w:t>lan</w:t>
      </w:r>
      <w:r w:rsidRPr="003328BA">
        <w:rPr>
          <w:rFonts w:cs="Arial"/>
          <w:bCs/>
          <w:szCs w:val="20"/>
        </w:rPr>
        <w:t xml:space="preserve">, das Pflichtenheft folgte. </w:t>
      </w:r>
      <w:r w:rsidR="00705524" w:rsidRPr="003328BA">
        <w:rPr>
          <w:rFonts w:cs="Arial"/>
          <w:bCs/>
          <w:szCs w:val="20"/>
        </w:rPr>
        <w:t xml:space="preserve">Danach </w:t>
      </w:r>
      <w:r w:rsidRPr="003328BA">
        <w:rPr>
          <w:rFonts w:cs="Arial"/>
          <w:bCs/>
          <w:szCs w:val="20"/>
        </w:rPr>
        <w:t>definierten die Experten die</w:t>
      </w:r>
      <w:r w:rsidR="00705524" w:rsidRPr="003328BA">
        <w:rPr>
          <w:rFonts w:cs="Arial"/>
          <w:bCs/>
          <w:szCs w:val="20"/>
        </w:rPr>
        <w:t xml:space="preserve"> Migrationsschritte </w:t>
      </w:r>
      <w:r w:rsidR="003806C2">
        <w:rPr>
          <w:rFonts w:cs="Arial"/>
          <w:bCs/>
          <w:szCs w:val="20"/>
        </w:rPr>
        <w:t xml:space="preserve">und </w:t>
      </w:r>
      <w:r w:rsidRPr="003328BA">
        <w:rPr>
          <w:rFonts w:cs="Arial"/>
          <w:bCs/>
          <w:szCs w:val="20"/>
        </w:rPr>
        <w:t>den straffen</w:t>
      </w:r>
      <w:r w:rsidR="00AC4563" w:rsidRPr="003328BA">
        <w:rPr>
          <w:rFonts w:cs="Arial"/>
          <w:bCs/>
          <w:szCs w:val="20"/>
        </w:rPr>
        <w:t xml:space="preserve"> </w:t>
      </w:r>
      <w:r w:rsidR="00705524" w:rsidRPr="003328BA">
        <w:rPr>
          <w:rFonts w:cs="Arial"/>
          <w:bCs/>
          <w:szCs w:val="20"/>
        </w:rPr>
        <w:t xml:space="preserve">Zeitplan. Letzterer stellte an alle Beteiligten hohe Anforderungen. </w:t>
      </w:r>
      <w:r w:rsidRPr="003328BA">
        <w:rPr>
          <w:rFonts w:cs="Arial"/>
          <w:bCs/>
          <w:szCs w:val="20"/>
        </w:rPr>
        <w:t>Das Ziel</w:t>
      </w:r>
      <w:r w:rsidR="00705524" w:rsidRPr="003328BA">
        <w:rPr>
          <w:rFonts w:cs="Arial"/>
          <w:bCs/>
          <w:szCs w:val="20"/>
        </w:rPr>
        <w:t xml:space="preserve"> lautete: </w:t>
      </w:r>
      <w:r w:rsidR="00865C79">
        <w:rPr>
          <w:rFonts w:cs="Arial"/>
          <w:bCs/>
          <w:szCs w:val="20"/>
        </w:rPr>
        <w:t>Ü</w:t>
      </w:r>
      <w:r w:rsidR="00AC4563" w:rsidRPr="003328BA">
        <w:rPr>
          <w:rFonts w:cs="Arial"/>
          <w:bCs/>
          <w:szCs w:val="20"/>
        </w:rPr>
        <w:t>ber</w:t>
      </w:r>
      <w:r w:rsidR="00705524" w:rsidRPr="003328BA">
        <w:rPr>
          <w:rFonts w:cs="Arial"/>
          <w:bCs/>
          <w:szCs w:val="20"/>
        </w:rPr>
        <w:t xml:space="preserve"> den Jahreswechsel soll </w:t>
      </w:r>
      <w:r w:rsidR="00AC4563" w:rsidRPr="003328BA">
        <w:rPr>
          <w:rFonts w:cs="Arial"/>
          <w:bCs/>
          <w:szCs w:val="20"/>
        </w:rPr>
        <w:t>das Gesamtprojekt über die Bühne gehen</w:t>
      </w:r>
      <w:r w:rsidR="00C87F97">
        <w:rPr>
          <w:rFonts w:cs="Arial"/>
          <w:bCs/>
          <w:szCs w:val="20"/>
        </w:rPr>
        <w:t xml:space="preserve">, </w:t>
      </w:r>
      <w:r w:rsidR="00B53E30">
        <w:rPr>
          <w:rFonts w:cs="Arial"/>
          <w:bCs/>
          <w:szCs w:val="20"/>
        </w:rPr>
        <w:t>um den</w:t>
      </w:r>
      <w:r w:rsidR="002E0554">
        <w:rPr>
          <w:rFonts w:cs="Arial"/>
          <w:bCs/>
          <w:szCs w:val="20"/>
        </w:rPr>
        <w:t xml:space="preserve"> S</w:t>
      </w:r>
      <w:r w:rsidRPr="003328BA">
        <w:rPr>
          <w:rFonts w:cs="Arial"/>
          <w:bCs/>
          <w:szCs w:val="20"/>
        </w:rPr>
        <w:t xml:space="preserve">tillstand auf ein Minimum </w:t>
      </w:r>
      <w:r w:rsidR="00B53E30">
        <w:rPr>
          <w:rFonts w:cs="Arial"/>
          <w:bCs/>
          <w:szCs w:val="20"/>
        </w:rPr>
        <w:t>zu reduzieren</w:t>
      </w:r>
      <w:r w:rsidRPr="003328BA">
        <w:rPr>
          <w:rFonts w:cs="Arial"/>
          <w:bCs/>
          <w:szCs w:val="20"/>
        </w:rPr>
        <w:t>.</w:t>
      </w:r>
      <w:r w:rsidR="003806C2">
        <w:rPr>
          <w:rFonts w:cs="Arial"/>
          <w:bCs/>
          <w:szCs w:val="20"/>
        </w:rPr>
        <w:t xml:space="preserve"> </w:t>
      </w:r>
    </w:p>
    <w:p w:rsidR="00AC4563" w:rsidRPr="008B727F" w:rsidRDefault="00AC4563" w:rsidP="00F67286">
      <w:pPr>
        <w:spacing w:line="360" w:lineRule="auto"/>
        <w:ind w:left="0" w:right="1693"/>
        <w:rPr>
          <w:rFonts w:cs="Arial"/>
          <w:bCs/>
          <w:sz w:val="18"/>
          <w:szCs w:val="18"/>
        </w:rPr>
      </w:pPr>
    </w:p>
    <w:p w:rsidR="003806C2" w:rsidRDefault="00AC4563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>Am 21. Dezember rückten die Fachleute von TGW an und verbrachten – mit Ausnahme von Silvester – die Zeit bis 7. Januar</w:t>
      </w:r>
      <w:r w:rsidR="00FB7C90">
        <w:rPr>
          <w:rFonts w:cs="Arial"/>
          <w:bCs/>
          <w:szCs w:val="20"/>
        </w:rPr>
        <w:t xml:space="preserve"> 2022</w:t>
      </w:r>
      <w:r w:rsidRPr="003328BA">
        <w:rPr>
          <w:rFonts w:cs="Arial"/>
          <w:bCs/>
          <w:szCs w:val="20"/>
        </w:rPr>
        <w:t xml:space="preserve"> bei Almi. Doch nicht nur der kurze Zeitraum war eine Herausforderung. „</w:t>
      </w:r>
      <w:r w:rsidR="00C87F97">
        <w:rPr>
          <w:rFonts w:cs="Arial"/>
          <w:bCs/>
          <w:szCs w:val="20"/>
        </w:rPr>
        <w:t>A</w:t>
      </w:r>
      <w:r w:rsidRPr="003328BA">
        <w:rPr>
          <w:rFonts w:cs="Arial"/>
          <w:bCs/>
          <w:szCs w:val="20"/>
        </w:rPr>
        <w:t xml:space="preserve">lle Schritte bis zum Hochfahren am 7. Januar </w:t>
      </w:r>
      <w:r w:rsidR="00C87F97">
        <w:rPr>
          <w:rFonts w:cs="Arial"/>
          <w:bCs/>
          <w:szCs w:val="20"/>
        </w:rPr>
        <w:t xml:space="preserve">mussten </w:t>
      </w:r>
      <w:r w:rsidRPr="003328BA">
        <w:rPr>
          <w:rFonts w:cs="Arial"/>
          <w:bCs/>
          <w:szCs w:val="20"/>
        </w:rPr>
        <w:t xml:space="preserve">detailliert geplant werden“, so </w:t>
      </w:r>
      <w:r w:rsidR="00804A80">
        <w:rPr>
          <w:rFonts w:cs="Arial"/>
          <w:bCs/>
          <w:szCs w:val="20"/>
        </w:rPr>
        <w:t>Fritz</w:t>
      </w:r>
      <w:r w:rsidRPr="003328BA">
        <w:rPr>
          <w:rFonts w:cs="Arial"/>
          <w:bCs/>
          <w:szCs w:val="20"/>
        </w:rPr>
        <w:t xml:space="preserve">. Ganz konnte das Projekt </w:t>
      </w:r>
      <w:r w:rsidR="006E4C09" w:rsidRPr="003328BA">
        <w:rPr>
          <w:rFonts w:cs="Arial"/>
          <w:bCs/>
          <w:szCs w:val="20"/>
        </w:rPr>
        <w:t xml:space="preserve">am Dreikönigstag aber nicht abgeschlossen werden – wie </w:t>
      </w:r>
      <w:r w:rsidR="00EB1D53" w:rsidRPr="003328BA">
        <w:rPr>
          <w:rFonts w:cs="Arial"/>
          <w:bCs/>
          <w:szCs w:val="20"/>
        </w:rPr>
        <w:t xml:space="preserve">zunächst </w:t>
      </w:r>
      <w:r w:rsidR="006E4C09" w:rsidRPr="003328BA">
        <w:rPr>
          <w:rFonts w:cs="Arial"/>
          <w:bCs/>
          <w:szCs w:val="20"/>
        </w:rPr>
        <w:t xml:space="preserve">geplant. Das lag aber nicht an TGW. Aufgrund der Coronapandemie und Engpässen in der </w:t>
      </w:r>
      <w:r w:rsidR="00EB1D53" w:rsidRPr="003328BA">
        <w:rPr>
          <w:rFonts w:cs="Arial"/>
          <w:bCs/>
          <w:szCs w:val="20"/>
        </w:rPr>
        <w:t>weltweiten Materialbeschaffung</w:t>
      </w:r>
      <w:r w:rsidR="006E4C09" w:rsidRPr="003328BA">
        <w:rPr>
          <w:rFonts w:cs="Arial"/>
          <w:bCs/>
          <w:szCs w:val="20"/>
        </w:rPr>
        <w:t xml:space="preserve"> </w:t>
      </w:r>
      <w:r w:rsidR="00B53E30">
        <w:rPr>
          <w:rFonts w:cs="Arial"/>
          <w:bCs/>
          <w:szCs w:val="20"/>
        </w:rPr>
        <w:t>erfolgte der</w:t>
      </w:r>
      <w:r w:rsidR="006E4C09" w:rsidRPr="003328BA">
        <w:rPr>
          <w:rFonts w:cs="Arial"/>
          <w:bCs/>
          <w:szCs w:val="20"/>
        </w:rPr>
        <w:t xml:space="preserve"> </w:t>
      </w:r>
      <w:r w:rsidR="00B53E30">
        <w:rPr>
          <w:rFonts w:cs="Arial"/>
          <w:bCs/>
          <w:szCs w:val="20"/>
        </w:rPr>
        <w:t>Tausch der</w:t>
      </w:r>
      <w:r w:rsidR="006E4C09" w:rsidRPr="003328BA">
        <w:rPr>
          <w:rFonts w:cs="Arial"/>
          <w:bCs/>
          <w:szCs w:val="20"/>
        </w:rPr>
        <w:t xml:space="preserve"> Hardware erst im April</w:t>
      </w:r>
      <w:r w:rsidR="00B53E30">
        <w:rPr>
          <w:rFonts w:cs="Arial"/>
          <w:bCs/>
          <w:szCs w:val="20"/>
        </w:rPr>
        <w:t xml:space="preserve"> </w:t>
      </w:r>
      <w:r w:rsidR="006E4C09" w:rsidRPr="003328BA">
        <w:rPr>
          <w:rFonts w:cs="Arial"/>
          <w:bCs/>
          <w:szCs w:val="20"/>
        </w:rPr>
        <w:t>– und zwar an</w:t>
      </w:r>
      <w:r w:rsidR="00424F0D" w:rsidRPr="003328BA">
        <w:rPr>
          <w:rFonts w:cs="Arial"/>
          <w:bCs/>
          <w:szCs w:val="20"/>
        </w:rPr>
        <w:t xml:space="preserve"> den</w:t>
      </w:r>
      <w:r w:rsidR="006E4C09" w:rsidRPr="003328BA">
        <w:rPr>
          <w:rFonts w:cs="Arial"/>
          <w:bCs/>
          <w:szCs w:val="20"/>
        </w:rPr>
        <w:t xml:space="preserve"> Wochenenden. </w:t>
      </w:r>
    </w:p>
    <w:p w:rsidR="001F49D5" w:rsidRPr="008B727F" w:rsidRDefault="001F49D5" w:rsidP="00F67286">
      <w:pPr>
        <w:spacing w:line="360" w:lineRule="auto"/>
        <w:ind w:left="0" w:right="1693"/>
        <w:rPr>
          <w:rFonts w:cs="Arial"/>
          <w:bCs/>
          <w:sz w:val="18"/>
          <w:szCs w:val="18"/>
        </w:rPr>
      </w:pPr>
    </w:p>
    <w:p w:rsidR="003806C2" w:rsidRPr="003806C2" w:rsidRDefault="003806C2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3806C2">
        <w:rPr>
          <w:rFonts w:cs="Arial"/>
          <w:b/>
          <w:bCs/>
          <w:szCs w:val="20"/>
        </w:rPr>
        <w:t>Energieeinsparung von bis zu 20 Prozent</w:t>
      </w:r>
    </w:p>
    <w:p w:rsidR="003806C2" w:rsidRPr="008B727F" w:rsidRDefault="008B727F" w:rsidP="008B727F">
      <w:pPr>
        <w:tabs>
          <w:tab w:val="left" w:pos="2229"/>
        </w:tabs>
        <w:spacing w:line="360" w:lineRule="auto"/>
        <w:ind w:left="0" w:right="1693"/>
        <w:rPr>
          <w:rFonts w:cs="Arial"/>
          <w:bCs/>
          <w:sz w:val="18"/>
          <w:szCs w:val="18"/>
        </w:rPr>
      </w:pPr>
      <w:r>
        <w:rPr>
          <w:rFonts w:cs="Arial"/>
          <w:bCs/>
          <w:szCs w:val="20"/>
        </w:rPr>
        <w:tab/>
      </w:r>
    </w:p>
    <w:p w:rsidR="00E852FE" w:rsidRPr="003328BA" w:rsidRDefault="001F49D5" w:rsidP="00C87F97">
      <w:pPr>
        <w:spacing w:line="360" w:lineRule="auto"/>
        <w:ind w:left="0" w:right="1693"/>
        <w:rPr>
          <w:rFonts w:cs="Arial"/>
          <w:bCs/>
          <w:szCs w:val="20"/>
        </w:rPr>
      </w:pPr>
      <w:r w:rsidRPr="003328BA">
        <w:rPr>
          <w:rFonts w:cs="Arial"/>
          <w:bCs/>
          <w:szCs w:val="20"/>
        </w:rPr>
        <w:t xml:space="preserve">Trotz erschwerter Rahmenbedingungen </w:t>
      </w:r>
      <w:r w:rsidR="0043629E">
        <w:rPr>
          <w:rFonts w:cs="Arial"/>
          <w:bCs/>
          <w:szCs w:val="20"/>
        </w:rPr>
        <w:t>wurde</w:t>
      </w:r>
      <w:r w:rsidRPr="003328BA">
        <w:rPr>
          <w:rFonts w:cs="Arial"/>
          <w:bCs/>
          <w:szCs w:val="20"/>
        </w:rPr>
        <w:t xml:space="preserve"> das Projekte Ende April </w:t>
      </w:r>
      <w:r w:rsidR="0043629E">
        <w:rPr>
          <w:rFonts w:cs="Arial"/>
          <w:bCs/>
          <w:szCs w:val="20"/>
        </w:rPr>
        <w:t xml:space="preserve">2022 </w:t>
      </w:r>
      <w:r w:rsidRPr="003328BA">
        <w:rPr>
          <w:rFonts w:cs="Arial"/>
          <w:bCs/>
          <w:szCs w:val="20"/>
        </w:rPr>
        <w:t>er</w:t>
      </w:r>
      <w:r>
        <w:rPr>
          <w:rFonts w:cs="Arial"/>
          <w:bCs/>
          <w:szCs w:val="20"/>
        </w:rPr>
        <w:t xml:space="preserve">folgreich abgeschlossen. </w:t>
      </w:r>
      <w:r w:rsidR="003806C2">
        <w:rPr>
          <w:rFonts w:cs="Arial"/>
          <w:bCs/>
          <w:szCs w:val="20"/>
        </w:rPr>
        <w:t>Mit dem</w:t>
      </w:r>
      <w:r w:rsidR="003806C2" w:rsidRPr="003328BA">
        <w:rPr>
          <w:rFonts w:cs="Arial"/>
          <w:bCs/>
          <w:szCs w:val="20"/>
        </w:rPr>
        <w:t xml:space="preserve"> Ergebnis ist Almi-</w:t>
      </w:r>
      <w:r w:rsidR="006E4C09" w:rsidRPr="003328BA">
        <w:rPr>
          <w:rFonts w:cs="Arial"/>
          <w:bCs/>
          <w:szCs w:val="20"/>
        </w:rPr>
        <w:t xml:space="preserve">Produktionsleiter </w:t>
      </w:r>
      <w:r w:rsidR="00627D9A">
        <w:rPr>
          <w:rFonts w:cs="Arial"/>
          <w:bCs/>
          <w:szCs w:val="20"/>
        </w:rPr>
        <w:t>Lackinger</w:t>
      </w:r>
      <w:r w:rsidR="00627D9A" w:rsidRPr="003328BA">
        <w:rPr>
          <w:rFonts w:cs="Arial"/>
          <w:bCs/>
          <w:szCs w:val="20"/>
        </w:rPr>
        <w:t xml:space="preserve"> </w:t>
      </w:r>
      <w:r w:rsidR="006E4C09" w:rsidRPr="003328BA">
        <w:rPr>
          <w:rFonts w:cs="Arial"/>
          <w:bCs/>
          <w:szCs w:val="20"/>
        </w:rPr>
        <w:t>sehr zufrieden. Zum einen</w:t>
      </w:r>
      <w:r w:rsidR="005A593A" w:rsidRPr="003328BA">
        <w:rPr>
          <w:rFonts w:cs="Arial"/>
          <w:bCs/>
          <w:szCs w:val="20"/>
        </w:rPr>
        <w:t xml:space="preserve"> sei </w:t>
      </w:r>
      <w:proofErr w:type="spellStart"/>
      <w:r w:rsidR="005A593A" w:rsidRPr="003328BA">
        <w:rPr>
          <w:rFonts w:cs="Arial"/>
          <w:bCs/>
          <w:szCs w:val="20"/>
        </w:rPr>
        <w:t>dank</w:t>
      </w:r>
      <w:proofErr w:type="spellEnd"/>
      <w:r w:rsidR="005A593A" w:rsidRPr="003328BA">
        <w:rPr>
          <w:rFonts w:cs="Arial"/>
          <w:bCs/>
          <w:szCs w:val="20"/>
        </w:rPr>
        <w:t xml:space="preserve"> </w:t>
      </w:r>
      <w:r w:rsidR="00A54BCC">
        <w:rPr>
          <w:rFonts w:cs="Arial"/>
          <w:bCs/>
          <w:szCs w:val="20"/>
        </w:rPr>
        <w:t>des Retrofits</w:t>
      </w:r>
      <w:r w:rsidR="005A593A" w:rsidRPr="003328BA">
        <w:rPr>
          <w:rFonts w:cs="Arial"/>
          <w:bCs/>
          <w:szCs w:val="20"/>
        </w:rPr>
        <w:t xml:space="preserve"> die </w:t>
      </w:r>
      <w:r w:rsidR="00226C33" w:rsidRPr="003328BA">
        <w:rPr>
          <w:rFonts w:cs="Arial"/>
          <w:bCs/>
          <w:szCs w:val="20"/>
        </w:rPr>
        <w:t>Anlagenverfügbarkeit</w:t>
      </w:r>
      <w:r w:rsidR="005A593A" w:rsidRPr="003328BA">
        <w:rPr>
          <w:rFonts w:cs="Arial"/>
          <w:bCs/>
          <w:szCs w:val="20"/>
        </w:rPr>
        <w:t xml:space="preserve"> </w:t>
      </w:r>
      <w:r w:rsidR="0043629E">
        <w:rPr>
          <w:rFonts w:cs="Arial"/>
          <w:bCs/>
          <w:szCs w:val="20"/>
        </w:rPr>
        <w:t>gestiegen</w:t>
      </w:r>
      <w:r w:rsidR="003806C2">
        <w:rPr>
          <w:rFonts w:cs="Arial"/>
          <w:bCs/>
          <w:szCs w:val="20"/>
        </w:rPr>
        <w:t xml:space="preserve">, zum </w:t>
      </w:r>
      <w:r w:rsidR="005A593A" w:rsidRPr="003328BA">
        <w:rPr>
          <w:rFonts w:cs="Arial"/>
          <w:bCs/>
          <w:szCs w:val="20"/>
        </w:rPr>
        <w:t xml:space="preserve">anderen seien </w:t>
      </w:r>
      <w:r w:rsidR="00226C33" w:rsidRPr="003328BA">
        <w:rPr>
          <w:rFonts w:cs="Arial"/>
          <w:bCs/>
          <w:szCs w:val="20"/>
        </w:rPr>
        <w:t>die</w:t>
      </w:r>
      <w:r w:rsidR="005A593A" w:rsidRPr="003328BA">
        <w:rPr>
          <w:rFonts w:cs="Arial"/>
          <w:bCs/>
          <w:szCs w:val="20"/>
        </w:rPr>
        <w:t xml:space="preserve"> Ersatzteile</w:t>
      </w:r>
      <w:r w:rsidR="00226C33" w:rsidRPr="003328BA">
        <w:rPr>
          <w:rFonts w:cs="Arial"/>
          <w:bCs/>
          <w:szCs w:val="20"/>
        </w:rPr>
        <w:t xml:space="preserve"> für Wartungsarbeiten</w:t>
      </w:r>
      <w:r w:rsidR="005A593A" w:rsidRPr="003328BA">
        <w:rPr>
          <w:rFonts w:cs="Arial"/>
          <w:bCs/>
          <w:szCs w:val="20"/>
        </w:rPr>
        <w:t xml:space="preserve"> </w:t>
      </w:r>
      <w:r w:rsidR="003806C2">
        <w:rPr>
          <w:rFonts w:cs="Arial"/>
          <w:bCs/>
          <w:szCs w:val="20"/>
        </w:rPr>
        <w:t>günstiger</w:t>
      </w:r>
      <w:r w:rsidR="005A593A" w:rsidRPr="003328BA">
        <w:rPr>
          <w:rFonts w:cs="Arial"/>
          <w:bCs/>
          <w:szCs w:val="20"/>
        </w:rPr>
        <w:t>. Und auch die grüne Logistikstrategie des Unternehmens</w:t>
      </w:r>
      <w:r w:rsidR="00B44B07">
        <w:rPr>
          <w:rFonts w:cs="Arial"/>
          <w:bCs/>
          <w:szCs w:val="20"/>
        </w:rPr>
        <w:t xml:space="preserve"> </w:t>
      </w:r>
      <w:r w:rsidR="0043629E">
        <w:rPr>
          <w:rFonts w:cs="Arial"/>
          <w:bCs/>
          <w:szCs w:val="20"/>
        </w:rPr>
        <w:t xml:space="preserve">kommt </w:t>
      </w:r>
      <w:r w:rsidR="00B44B07">
        <w:rPr>
          <w:rFonts w:cs="Arial"/>
          <w:bCs/>
          <w:szCs w:val="20"/>
        </w:rPr>
        <w:t>einen wichtigen Schritt weiter – unter anderem mit der Erfüllung des</w:t>
      </w:r>
      <w:r w:rsidR="005A593A" w:rsidRPr="003328BA">
        <w:rPr>
          <w:rFonts w:cs="Arial"/>
          <w:bCs/>
          <w:szCs w:val="20"/>
        </w:rPr>
        <w:t xml:space="preserve"> </w:t>
      </w:r>
      <w:r w:rsidR="00C87F97" w:rsidRPr="003328BA">
        <w:rPr>
          <w:rFonts w:cs="Arial"/>
          <w:bCs/>
          <w:szCs w:val="20"/>
        </w:rPr>
        <w:t>Energieaudit</w:t>
      </w:r>
      <w:r w:rsidR="00B44B07">
        <w:rPr>
          <w:rFonts w:cs="Arial"/>
          <w:bCs/>
          <w:szCs w:val="20"/>
        </w:rPr>
        <w:t>s</w:t>
      </w:r>
      <w:r w:rsidR="00C87F97" w:rsidRPr="003328BA">
        <w:rPr>
          <w:rFonts w:cs="Arial"/>
          <w:bCs/>
          <w:szCs w:val="20"/>
        </w:rPr>
        <w:t xml:space="preserve"> ISO 50002</w:t>
      </w:r>
      <w:r w:rsidR="008B727F">
        <w:rPr>
          <w:rFonts w:cs="Arial"/>
          <w:bCs/>
          <w:szCs w:val="20"/>
        </w:rPr>
        <w:t xml:space="preserve">. </w:t>
      </w:r>
      <w:r w:rsidR="005A593A" w:rsidRPr="003328BA">
        <w:rPr>
          <w:rFonts w:cs="Arial"/>
          <w:bCs/>
          <w:szCs w:val="20"/>
        </w:rPr>
        <w:t>„</w:t>
      </w:r>
      <w:r w:rsidR="00226C33" w:rsidRPr="003328BA">
        <w:rPr>
          <w:rFonts w:cs="Arial"/>
          <w:bCs/>
          <w:szCs w:val="20"/>
        </w:rPr>
        <w:t>In der Intralogistik sind jetzt</w:t>
      </w:r>
      <w:r w:rsidR="005A593A" w:rsidRPr="003328BA">
        <w:rPr>
          <w:rFonts w:cs="Arial"/>
          <w:bCs/>
          <w:szCs w:val="20"/>
        </w:rPr>
        <w:t xml:space="preserve"> Energieeinsparungen von bis zu 20 Prozent möglich. Früher ging die nicht benötigte Bremsenergie des Regalbediengeräts verloren. Heute speisen wir sie wieder ins Netz </w:t>
      </w:r>
      <w:r w:rsidR="00FB7C90">
        <w:rPr>
          <w:rFonts w:cs="Arial"/>
          <w:bCs/>
          <w:szCs w:val="20"/>
        </w:rPr>
        <w:t>e</w:t>
      </w:r>
      <w:r w:rsidR="005A593A" w:rsidRPr="003328BA">
        <w:rPr>
          <w:rFonts w:cs="Arial"/>
          <w:bCs/>
          <w:szCs w:val="20"/>
        </w:rPr>
        <w:t xml:space="preserve">in. </w:t>
      </w:r>
      <w:r w:rsidR="00226C33" w:rsidRPr="003328BA">
        <w:rPr>
          <w:rFonts w:cs="Arial"/>
          <w:bCs/>
          <w:szCs w:val="20"/>
        </w:rPr>
        <w:t>Nach der</w:t>
      </w:r>
      <w:r w:rsidR="005A593A" w:rsidRPr="003328BA">
        <w:rPr>
          <w:rFonts w:cs="Arial"/>
          <w:bCs/>
          <w:szCs w:val="20"/>
        </w:rPr>
        <w:t xml:space="preserve"> Modernisierung durch </w:t>
      </w:r>
      <w:r w:rsidR="003806C2">
        <w:rPr>
          <w:rFonts w:cs="Arial"/>
          <w:bCs/>
          <w:szCs w:val="20"/>
        </w:rPr>
        <w:t>unseren</w:t>
      </w:r>
      <w:r w:rsidR="005A593A" w:rsidRPr="003328BA">
        <w:rPr>
          <w:rFonts w:cs="Arial"/>
          <w:bCs/>
          <w:szCs w:val="20"/>
        </w:rPr>
        <w:t xml:space="preserve"> Partner TGW blicken wir zuversichtlich in eine grüne Zukunft.“ </w:t>
      </w:r>
    </w:p>
    <w:p w:rsidR="002E0554" w:rsidRPr="00E13783" w:rsidRDefault="002E0554" w:rsidP="00F67286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:rsidR="00C27AD9" w:rsidRPr="003328BA" w:rsidRDefault="00C27AD9" w:rsidP="006D7FA7">
      <w:pPr>
        <w:spacing w:line="240" w:lineRule="auto"/>
        <w:ind w:left="0" w:right="1693"/>
        <w:rPr>
          <w:rFonts w:cs="Arial"/>
          <w:b/>
          <w:sz w:val="16"/>
          <w:szCs w:val="16"/>
        </w:rPr>
      </w:pPr>
      <w:r w:rsidRPr="003328BA">
        <w:rPr>
          <w:rFonts w:cs="Arial"/>
          <w:b/>
          <w:sz w:val="16"/>
          <w:szCs w:val="16"/>
        </w:rPr>
        <w:lastRenderedPageBreak/>
        <w:t xml:space="preserve">Über Almi </w:t>
      </w:r>
    </w:p>
    <w:p w:rsidR="00C27AD9" w:rsidRPr="003328BA" w:rsidRDefault="00C27AD9" w:rsidP="006D7FA7">
      <w:pPr>
        <w:spacing w:line="240" w:lineRule="auto"/>
        <w:ind w:left="0" w:right="1693"/>
        <w:rPr>
          <w:rFonts w:cs="Arial"/>
          <w:bCs/>
          <w:sz w:val="16"/>
          <w:szCs w:val="16"/>
        </w:rPr>
      </w:pPr>
    </w:p>
    <w:p w:rsidR="00C27AD9" w:rsidRPr="003328BA" w:rsidRDefault="00E852FE" w:rsidP="006D7FA7">
      <w:pPr>
        <w:spacing w:line="240" w:lineRule="auto"/>
        <w:ind w:left="0" w:right="1693"/>
        <w:rPr>
          <w:rFonts w:cs="Arial"/>
          <w:bCs/>
          <w:sz w:val="16"/>
          <w:szCs w:val="16"/>
        </w:rPr>
      </w:pPr>
      <w:r w:rsidRPr="003328BA">
        <w:rPr>
          <w:rFonts w:cs="Arial"/>
          <w:bCs/>
          <w:sz w:val="16"/>
          <w:szCs w:val="16"/>
        </w:rPr>
        <w:t xml:space="preserve">Die Almi GmbH mit Sitz in Oftering (Oberösterreich) </w:t>
      </w:r>
      <w:r w:rsidR="00C27AD9" w:rsidRPr="003328BA">
        <w:rPr>
          <w:rFonts w:cs="Arial"/>
          <w:bCs/>
          <w:sz w:val="16"/>
          <w:szCs w:val="16"/>
        </w:rPr>
        <w:t xml:space="preserve">hat sich in den </w:t>
      </w:r>
      <w:r w:rsidRPr="003328BA">
        <w:rPr>
          <w:rFonts w:cs="Arial"/>
          <w:bCs/>
          <w:sz w:val="16"/>
          <w:szCs w:val="16"/>
        </w:rPr>
        <w:t>vergangenen</w:t>
      </w:r>
      <w:r w:rsidR="00C27AD9" w:rsidRPr="003328BA">
        <w:rPr>
          <w:rFonts w:cs="Arial"/>
          <w:bCs/>
          <w:sz w:val="16"/>
          <w:szCs w:val="16"/>
        </w:rPr>
        <w:t xml:space="preserve"> neun Jahrzehnten vom kleinen Kaufladen zu einem internationalen Hersteller hochwertiger Gewürzmischungen sowie von Zusatzstoffen für die Wurst-, Fleisch- und Fischproduktion entwickelt. Mit mehr als 300 Mitarbeitern am Standort Oftering und weltweit </w:t>
      </w:r>
      <w:r w:rsidRPr="003328BA">
        <w:rPr>
          <w:rFonts w:cs="Arial"/>
          <w:bCs/>
          <w:sz w:val="16"/>
          <w:szCs w:val="16"/>
        </w:rPr>
        <w:t>rund</w:t>
      </w:r>
      <w:r w:rsidR="00C27AD9" w:rsidRPr="003328BA">
        <w:rPr>
          <w:rFonts w:cs="Arial"/>
          <w:bCs/>
          <w:sz w:val="16"/>
          <w:szCs w:val="16"/>
        </w:rPr>
        <w:t xml:space="preserve"> 592 </w:t>
      </w:r>
      <w:r w:rsidRPr="003328BA">
        <w:rPr>
          <w:rFonts w:cs="Arial"/>
          <w:bCs/>
          <w:sz w:val="16"/>
          <w:szCs w:val="16"/>
        </w:rPr>
        <w:t>Mitarbeitern</w:t>
      </w:r>
      <w:r w:rsidR="00C27AD9" w:rsidRPr="003328BA">
        <w:rPr>
          <w:rFonts w:cs="Arial"/>
          <w:bCs/>
          <w:sz w:val="16"/>
          <w:szCs w:val="16"/>
        </w:rPr>
        <w:t xml:space="preserve"> erwirtschaftet </w:t>
      </w:r>
      <w:r w:rsidRPr="003328BA">
        <w:rPr>
          <w:rFonts w:cs="Arial"/>
          <w:bCs/>
          <w:sz w:val="16"/>
          <w:szCs w:val="16"/>
        </w:rPr>
        <w:t>das Familienunternehmen</w:t>
      </w:r>
      <w:r w:rsidR="00C27AD9" w:rsidRPr="003328BA">
        <w:rPr>
          <w:rFonts w:cs="Arial"/>
          <w:bCs/>
          <w:sz w:val="16"/>
          <w:szCs w:val="16"/>
        </w:rPr>
        <w:t xml:space="preserve"> jährlich einen Umsatz von rund 132 Millionen Euro und ist in mehr als 62 Ländern mit einer eigenen Niederlassung oder über Handelspartner vertreten. </w:t>
      </w:r>
    </w:p>
    <w:p w:rsidR="00473B5A" w:rsidRPr="006904AD" w:rsidRDefault="00473B5A" w:rsidP="006D7FA7">
      <w:pPr>
        <w:spacing w:line="240" w:lineRule="auto"/>
        <w:ind w:left="0" w:right="1693"/>
        <w:rPr>
          <w:rFonts w:cs="Arial"/>
          <w:szCs w:val="20"/>
          <w:lang w:val="de-AT"/>
        </w:rPr>
      </w:pPr>
    </w:p>
    <w:p w:rsidR="00BC7952" w:rsidRPr="00627D9A" w:rsidRDefault="00BC7952" w:rsidP="006D7FA7">
      <w:pPr>
        <w:spacing w:line="240" w:lineRule="auto"/>
        <w:ind w:left="0" w:right="1693"/>
        <w:rPr>
          <w:rStyle w:val="Hyperlink"/>
          <w:b/>
          <w:color w:val="auto"/>
          <w:sz w:val="16"/>
          <w:szCs w:val="16"/>
          <w:u w:val="none"/>
          <w:lang w:val="en-US"/>
        </w:rPr>
      </w:pPr>
      <w:r w:rsidRPr="00627D9A">
        <w:rPr>
          <w:rStyle w:val="Hyperlink"/>
          <w:b/>
          <w:color w:val="auto"/>
          <w:sz w:val="16"/>
          <w:szCs w:val="16"/>
          <w:u w:val="none"/>
          <w:lang w:val="en-US"/>
        </w:rPr>
        <w:t>Über die TGW Logistics Group:</w:t>
      </w:r>
    </w:p>
    <w:p w:rsidR="00BC7952" w:rsidRPr="003328BA" w:rsidRDefault="00BC7952" w:rsidP="006D7FA7">
      <w:pPr>
        <w:spacing w:line="240" w:lineRule="auto"/>
        <w:ind w:left="0" w:right="1695"/>
        <w:rPr>
          <w:rStyle w:val="Hyperlink"/>
          <w:color w:val="auto"/>
          <w:sz w:val="16"/>
          <w:szCs w:val="16"/>
          <w:u w:val="none"/>
        </w:rPr>
      </w:pPr>
      <w:r w:rsidRPr="003328BA">
        <w:rPr>
          <w:rStyle w:val="Hyperlink"/>
          <w:color w:val="auto"/>
          <w:sz w:val="16"/>
          <w:szCs w:val="16"/>
          <w:u w:val="none"/>
        </w:rPr>
        <w:t xml:space="preserve">Die TGW Logistics Group ist ein international führender Anbieter von Intralogistik-Lösungen. Seit </w:t>
      </w:r>
      <w:r w:rsidR="00C4399A" w:rsidRPr="003328BA">
        <w:rPr>
          <w:rStyle w:val="Hyperlink"/>
          <w:color w:val="auto"/>
          <w:sz w:val="16"/>
          <w:szCs w:val="16"/>
          <w:u w:val="none"/>
        </w:rPr>
        <w:t xml:space="preserve">mehr als </w:t>
      </w:r>
      <w:r w:rsidRPr="003328BA">
        <w:rPr>
          <w:rStyle w:val="Hyperlink"/>
          <w:color w:val="auto"/>
          <w:sz w:val="16"/>
          <w:szCs w:val="16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3328BA" w:rsidRDefault="00BC7952" w:rsidP="006D7FA7">
      <w:pPr>
        <w:spacing w:line="240" w:lineRule="auto"/>
        <w:ind w:left="0" w:right="1695"/>
        <w:rPr>
          <w:rStyle w:val="Hyperlink"/>
          <w:color w:val="auto"/>
          <w:sz w:val="16"/>
          <w:szCs w:val="16"/>
          <w:u w:val="none"/>
        </w:rPr>
      </w:pPr>
    </w:p>
    <w:p w:rsidR="00BC7952" w:rsidRPr="003328BA" w:rsidRDefault="00BC7952" w:rsidP="006D7FA7">
      <w:pPr>
        <w:spacing w:line="240" w:lineRule="auto"/>
        <w:ind w:left="0" w:right="1695"/>
        <w:rPr>
          <w:rStyle w:val="Hyperlink"/>
          <w:color w:val="auto"/>
          <w:sz w:val="16"/>
          <w:szCs w:val="16"/>
          <w:u w:val="none"/>
        </w:rPr>
      </w:pPr>
      <w:r w:rsidRPr="003328BA">
        <w:rPr>
          <w:rStyle w:val="Hyperlink"/>
          <w:color w:val="auto"/>
          <w:sz w:val="16"/>
          <w:szCs w:val="16"/>
          <w:u w:val="none"/>
        </w:rPr>
        <w:t xml:space="preserve">Die TGW Logistics Group hat Niederlassungen in Europa, China und den USA und </w:t>
      </w:r>
      <w:r w:rsidR="003328BA">
        <w:rPr>
          <w:rStyle w:val="Hyperlink"/>
          <w:color w:val="auto"/>
          <w:sz w:val="16"/>
          <w:szCs w:val="16"/>
          <w:u w:val="none"/>
        </w:rPr>
        <w:t>beschäftigt weltweit mehr als 4.0</w:t>
      </w:r>
      <w:r w:rsidRPr="003328BA">
        <w:rPr>
          <w:rStyle w:val="Hyperlink"/>
          <w:color w:val="auto"/>
          <w:sz w:val="16"/>
          <w:szCs w:val="16"/>
          <w:u w:val="none"/>
        </w:rPr>
        <w:t>00 Mit</w:t>
      </w:r>
      <w:r w:rsidR="003328BA">
        <w:rPr>
          <w:rStyle w:val="Hyperlink"/>
          <w:color w:val="auto"/>
          <w:sz w:val="16"/>
          <w:szCs w:val="16"/>
          <w:u w:val="none"/>
        </w:rPr>
        <w:t>arbeiter. Im Wirtschaftsjahr 2020</w:t>
      </w:r>
      <w:r w:rsidRPr="003328BA">
        <w:rPr>
          <w:rStyle w:val="Hyperlink"/>
          <w:color w:val="auto"/>
          <w:sz w:val="16"/>
          <w:szCs w:val="16"/>
          <w:u w:val="none"/>
        </w:rPr>
        <w:t>/20</w:t>
      </w:r>
      <w:r w:rsidR="003328BA">
        <w:rPr>
          <w:rStyle w:val="Hyperlink"/>
          <w:color w:val="auto"/>
          <w:sz w:val="16"/>
          <w:szCs w:val="16"/>
          <w:u w:val="none"/>
        </w:rPr>
        <w:t>21</w:t>
      </w:r>
      <w:r w:rsidRPr="003328BA">
        <w:rPr>
          <w:rStyle w:val="Hyperlink"/>
          <w:color w:val="auto"/>
          <w:sz w:val="16"/>
          <w:szCs w:val="16"/>
          <w:u w:val="none"/>
        </w:rPr>
        <w:t xml:space="preserve"> erzielte das Unternehmen einen Gesamtumsatz von </w:t>
      </w:r>
      <w:r w:rsidR="003328BA">
        <w:rPr>
          <w:rStyle w:val="Hyperlink"/>
          <w:color w:val="auto"/>
          <w:sz w:val="16"/>
          <w:szCs w:val="16"/>
          <w:u w:val="none"/>
        </w:rPr>
        <w:t>813</w:t>
      </w:r>
      <w:r w:rsidR="00704319" w:rsidRPr="003328BA">
        <w:rPr>
          <w:rStyle w:val="Hyperlink"/>
          <w:color w:val="auto"/>
          <w:sz w:val="16"/>
          <w:szCs w:val="16"/>
          <w:u w:val="none"/>
        </w:rPr>
        <w:t xml:space="preserve"> </w:t>
      </w:r>
      <w:r w:rsidRPr="003328BA">
        <w:rPr>
          <w:rStyle w:val="Hyperlink"/>
          <w:color w:val="auto"/>
          <w:sz w:val="16"/>
          <w:szCs w:val="16"/>
          <w:u w:val="none"/>
        </w:rPr>
        <w:t>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3328BA" w:rsidRPr="00627D9A" w:rsidRDefault="006839CE" w:rsidP="003328BA">
      <w:pPr>
        <w:spacing w:line="360" w:lineRule="auto"/>
        <w:ind w:left="0" w:right="1693"/>
        <w:rPr>
          <w:lang w:val="en-US"/>
        </w:rPr>
      </w:pPr>
      <w:hyperlink r:id="rId11" w:history="1">
        <w:r w:rsidR="003328BA" w:rsidRPr="00627D9A">
          <w:rPr>
            <w:rStyle w:val="Hyperlink"/>
            <w:lang w:val="en-US"/>
          </w:rPr>
          <w:t>www.tgw-group.com</w:t>
        </w:r>
      </w:hyperlink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EB1B5A" w:rsidRPr="00D1043D" w:rsidRDefault="00EB1B5A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3328BA" w:rsidRPr="003328BA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3328BA" w:rsidRDefault="003328BA" w:rsidP="00BC7952">
      <w:pPr>
        <w:spacing w:line="240" w:lineRule="auto"/>
        <w:ind w:left="0" w:right="1693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© Almi</w:t>
      </w:r>
    </w:p>
    <w:p w:rsidR="003328BA" w:rsidRDefault="003328BA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24" w:rsidRDefault="00A34524" w:rsidP="00764006">
      <w:pPr>
        <w:spacing w:line="240" w:lineRule="auto"/>
      </w:pPr>
      <w:r>
        <w:separator/>
      </w:r>
    </w:p>
  </w:endnote>
  <w:endnote w:type="continuationSeparator" w:id="0">
    <w:p w:rsidR="00A34524" w:rsidRDefault="00A345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:rsidTr="00A345ED">
      <w:tc>
        <w:tcPr>
          <w:tcW w:w="6474" w:type="dxa"/>
        </w:tcPr>
        <w:p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839CE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839CE">
            <w:rPr>
              <w:noProof/>
              <w:sz w:val="16"/>
              <w:szCs w:val="16"/>
            </w:rPr>
            <w:t>4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24" w:rsidRDefault="00A34524" w:rsidP="00764006">
      <w:pPr>
        <w:spacing w:line="240" w:lineRule="auto"/>
      </w:pPr>
      <w:r>
        <w:separator/>
      </w:r>
    </w:p>
  </w:footnote>
  <w:footnote w:type="continuationSeparator" w:id="0">
    <w:p w:rsidR="00A34524" w:rsidRDefault="00A345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12" w:rsidRDefault="00B72812" w:rsidP="00C54F6A">
    <w:pPr>
      <w:pStyle w:val="Dokumententitel"/>
    </w:pPr>
  </w:p>
  <w:p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3FD">
      <w:t>Pressemitteilung</w:t>
    </w:r>
  </w:p>
  <w:p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54F2"/>
    <w:multiLevelType w:val="hybridMultilevel"/>
    <w:tmpl w:val="5770DA2A"/>
    <w:lvl w:ilvl="0" w:tplc="846A4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F721153"/>
    <w:multiLevelType w:val="hybridMultilevel"/>
    <w:tmpl w:val="3FB09714"/>
    <w:lvl w:ilvl="0" w:tplc="FC9ECB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51A"/>
    <w:multiLevelType w:val="hybridMultilevel"/>
    <w:tmpl w:val="8CCCF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2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1"/>
  </w:num>
  <w:num w:numId="5">
    <w:abstractNumId w:val="23"/>
  </w:num>
  <w:num w:numId="6">
    <w:abstractNumId w:val="4"/>
  </w:num>
  <w:num w:numId="7">
    <w:abstractNumId w:val="1"/>
  </w:num>
  <w:num w:numId="8">
    <w:abstractNumId w:val="19"/>
  </w:num>
  <w:num w:numId="9">
    <w:abstractNumId w:val="6"/>
  </w:num>
  <w:num w:numId="10">
    <w:abstractNumId w:val="24"/>
  </w:num>
  <w:num w:numId="11">
    <w:abstractNumId w:val="11"/>
  </w:num>
  <w:num w:numId="12">
    <w:abstractNumId w:val="7"/>
  </w:num>
  <w:num w:numId="13">
    <w:abstractNumId w:val="5"/>
  </w:num>
  <w:num w:numId="14">
    <w:abstractNumId w:val="18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22"/>
  </w:num>
  <w:num w:numId="21">
    <w:abstractNumId w:val="13"/>
  </w:num>
  <w:num w:numId="22">
    <w:abstractNumId w:val="15"/>
  </w:num>
  <w:num w:numId="23">
    <w:abstractNumId w:val="12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DD4"/>
    <w:rsid w:val="00002AC7"/>
    <w:rsid w:val="00006ADD"/>
    <w:rsid w:val="00007FC6"/>
    <w:rsid w:val="00010D99"/>
    <w:rsid w:val="00010E97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AE3"/>
    <w:rsid w:val="00051B1D"/>
    <w:rsid w:val="000522C7"/>
    <w:rsid w:val="00053EC2"/>
    <w:rsid w:val="00055139"/>
    <w:rsid w:val="00055AC1"/>
    <w:rsid w:val="00056AA7"/>
    <w:rsid w:val="00064F2D"/>
    <w:rsid w:val="00065E58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1E28"/>
    <w:rsid w:val="00082003"/>
    <w:rsid w:val="0008361B"/>
    <w:rsid w:val="00083EA2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285F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2C00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47DCC"/>
    <w:rsid w:val="00151FD8"/>
    <w:rsid w:val="00152760"/>
    <w:rsid w:val="00152A09"/>
    <w:rsid w:val="001537D6"/>
    <w:rsid w:val="00153C82"/>
    <w:rsid w:val="00153D8F"/>
    <w:rsid w:val="00155AE9"/>
    <w:rsid w:val="00155DB3"/>
    <w:rsid w:val="00157367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FFB"/>
    <w:rsid w:val="001744EA"/>
    <w:rsid w:val="00176D8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5591"/>
    <w:rsid w:val="00195BA1"/>
    <w:rsid w:val="001A0128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59FE"/>
    <w:rsid w:val="001C77BA"/>
    <w:rsid w:val="001D1169"/>
    <w:rsid w:val="001D3742"/>
    <w:rsid w:val="001D3DA5"/>
    <w:rsid w:val="001D57B5"/>
    <w:rsid w:val="001D6321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1F49D5"/>
    <w:rsid w:val="002017CF"/>
    <w:rsid w:val="002025D0"/>
    <w:rsid w:val="0020344F"/>
    <w:rsid w:val="00203677"/>
    <w:rsid w:val="00205DAD"/>
    <w:rsid w:val="002127F1"/>
    <w:rsid w:val="00212AB2"/>
    <w:rsid w:val="00213206"/>
    <w:rsid w:val="00213434"/>
    <w:rsid w:val="00213DEE"/>
    <w:rsid w:val="00214367"/>
    <w:rsid w:val="00215B86"/>
    <w:rsid w:val="00220326"/>
    <w:rsid w:val="00220DA8"/>
    <w:rsid w:val="00221A42"/>
    <w:rsid w:val="00221B43"/>
    <w:rsid w:val="00222AA7"/>
    <w:rsid w:val="00223EA8"/>
    <w:rsid w:val="0022464C"/>
    <w:rsid w:val="00226B41"/>
    <w:rsid w:val="00226C33"/>
    <w:rsid w:val="00232F8E"/>
    <w:rsid w:val="0023663F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96ED8"/>
    <w:rsid w:val="002A00C3"/>
    <w:rsid w:val="002A00FB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B4B19"/>
    <w:rsid w:val="002B677D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D6CDB"/>
    <w:rsid w:val="002E022D"/>
    <w:rsid w:val="002E0554"/>
    <w:rsid w:val="002E58ED"/>
    <w:rsid w:val="002E789B"/>
    <w:rsid w:val="002F3A9A"/>
    <w:rsid w:val="002F43AF"/>
    <w:rsid w:val="002F5287"/>
    <w:rsid w:val="002F55CE"/>
    <w:rsid w:val="002F565F"/>
    <w:rsid w:val="002F712A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4E30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28BA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3B05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5772F"/>
    <w:rsid w:val="003600A8"/>
    <w:rsid w:val="00367F43"/>
    <w:rsid w:val="0037015F"/>
    <w:rsid w:val="00370EEF"/>
    <w:rsid w:val="0037168C"/>
    <w:rsid w:val="00371870"/>
    <w:rsid w:val="00371CA2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06C2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F67"/>
    <w:rsid w:val="003A59FD"/>
    <w:rsid w:val="003A5CDA"/>
    <w:rsid w:val="003A6382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B61"/>
    <w:rsid w:val="003C4E9D"/>
    <w:rsid w:val="003C543D"/>
    <w:rsid w:val="003C5D23"/>
    <w:rsid w:val="003C66B4"/>
    <w:rsid w:val="003C7889"/>
    <w:rsid w:val="003D0607"/>
    <w:rsid w:val="003D0B8D"/>
    <w:rsid w:val="003D34D5"/>
    <w:rsid w:val="003D3FCD"/>
    <w:rsid w:val="003D6248"/>
    <w:rsid w:val="003D7A7A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07C"/>
    <w:rsid w:val="003F74CD"/>
    <w:rsid w:val="003F7FEF"/>
    <w:rsid w:val="00401382"/>
    <w:rsid w:val="00401817"/>
    <w:rsid w:val="004022C2"/>
    <w:rsid w:val="004028FC"/>
    <w:rsid w:val="00406298"/>
    <w:rsid w:val="0040634E"/>
    <w:rsid w:val="0040644C"/>
    <w:rsid w:val="004067A6"/>
    <w:rsid w:val="00412090"/>
    <w:rsid w:val="004141A9"/>
    <w:rsid w:val="00415361"/>
    <w:rsid w:val="00415EE9"/>
    <w:rsid w:val="00416095"/>
    <w:rsid w:val="0041793C"/>
    <w:rsid w:val="004213DC"/>
    <w:rsid w:val="00421BE2"/>
    <w:rsid w:val="004233B4"/>
    <w:rsid w:val="004242C5"/>
    <w:rsid w:val="004242D0"/>
    <w:rsid w:val="00424657"/>
    <w:rsid w:val="00424F0D"/>
    <w:rsid w:val="004265B6"/>
    <w:rsid w:val="004267E4"/>
    <w:rsid w:val="004268BF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29E"/>
    <w:rsid w:val="00436969"/>
    <w:rsid w:val="00437BBE"/>
    <w:rsid w:val="00437C38"/>
    <w:rsid w:val="00440D4C"/>
    <w:rsid w:val="00441894"/>
    <w:rsid w:val="0044203F"/>
    <w:rsid w:val="0044393D"/>
    <w:rsid w:val="004439E0"/>
    <w:rsid w:val="00445563"/>
    <w:rsid w:val="00445CE3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84C2B"/>
    <w:rsid w:val="004903C0"/>
    <w:rsid w:val="00490717"/>
    <w:rsid w:val="00490A26"/>
    <w:rsid w:val="00492C16"/>
    <w:rsid w:val="0049427C"/>
    <w:rsid w:val="00494BF3"/>
    <w:rsid w:val="0049726A"/>
    <w:rsid w:val="00497FF7"/>
    <w:rsid w:val="004A3FD4"/>
    <w:rsid w:val="004A44E5"/>
    <w:rsid w:val="004A474F"/>
    <w:rsid w:val="004A52B7"/>
    <w:rsid w:val="004A785D"/>
    <w:rsid w:val="004A7A0D"/>
    <w:rsid w:val="004B16B8"/>
    <w:rsid w:val="004B219C"/>
    <w:rsid w:val="004B27D8"/>
    <w:rsid w:val="004B3F79"/>
    <w:rsid w:val="004B4A07"/>
    <w:rsid w:val="004B6E67"/>
    <w:rsid w:val="004C0253"/>
    <w:rsid w:val="004C0508"/>
    <w:rsid w:val="004C06A9"/>
    <w:rsid w:val="004C07E3"/>
    <w:rsid w:val="004C2225"/>
    <w:rsid w:val="004C675F"/>
    <w:rsid w:val="004C6B3D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31E2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0EDC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2B97"/>
    <w:rsid w:val="00583B59"/>
    <w:rsid w:val="0058443D"/>
    <w:rsid w:val="0058469D"/>
    <w:rsid w:val="005847C6"/>
    <w:rsid w:val="00585363"/>
    <w:rsid w:val="0058631D"/>
    <w:rsid w:val="00586667"/>
    <w:rsid w:val="00591C2E"/>
    <w:rsid w:val="00591D85"/>
    <w:rsid w:val="00592152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3AB7"/>
    <w:rsid w:val="005A42B3"/>
    <w:rsid w:val="005A4860"/>
    <w:rsid w:val="005A4DB6"/>
    <w:rsid w:val="005A593A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2AD2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1D57"/>
    <w:rsid w:val="005E2271"/>
    <w:rsid w:val="005E245A"/>
    <w:rsid w:val="005E2C94"/>
    <w:rsid w:val="005E5427"/>
    <w:rsid w:val="005E5D41"/>
    <w:rsid w:val="005F08FA"/>
    <w:rsid w:val="005F0A3E"/>
    <w:rsid w:val="005F0CD7"/>
    <w:rsid w:val="005F1EA6"/>
    <w:rsid w:val="005F23BB"/>
    <w:rsid w:val="005F275F"/>
    <w:rsid w:val="005F278F"/>
    <w:rsid w:val="005F2EA2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115"/>
    <w:rsid w:val="00617806"/>
    <w:rsid w:val="00620363"/>
    <w:rsid w:val="006214D4"/>
    <w:rsid w:val="006230E6"/>
    <w:rsid w:val="006231AE"/>
    <w:rsid w:val="00623474"/>
    <w:rsid w:val="0062370A"/>
    <w:rsid w:val="00623EDB"/>
    <w:rsid w:val="0062546A"/>
    <w:rsid w:val="00626565"/>
    <w:rsid w:val="00627228"/>
    <w:rsid w:val="006273C7"/>
    <w:rsid w:val="00627D9A"/>
    <w:rsid w:val="0063006D"/>
    <w:rsid w:val="00630AA6"/>
    <w:rsid w:val="00632088"/>
    <w:rsid w:val="00632BC2"/>
    <w:rsid w:val="00640107"/>
    <w:rsid w:val="006437FF"/>
    <w:rsid w:val="00643CDE"/>
    <w:rsid w:val="00644F94"/>
    <w:rsid w:val="006474AB"/>
    <w:rsid w:val="00650DF4"/>
    <w:rsid w:val="006525C3"/>
    <w:rsid w:val="0065261F"/>
    <w:rsid w:val="006527DF"/>
    <w:rsid w:val="006564C4"/>
    <w:rsid w:val="00657E3E"/>
    <w:rsid w:val="00657F6B"/>
    <w:rsid w:val="00660132"/>
    <w:rsid w:val="00660B22"/>
    <w:rsid w:val="00662574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39CE"/>
    <w:rsid w:val="00684FE0"/>
    <w:rsid w:val="006858BF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6D06"/>
    <w:rsid w:val="006B7887"/>
    <w:rsid w:val="006C034B"/>
    <w:rsid w:val="006C0B00"/>
    <w:rsid w:val="006C15F7"/>
    <w:rsid w:val="006C2268"/>
    <w:rsid w:val="006C3BCD"/>
    <w:rsid w:val="006C597B"/>
    <w:rsid w:val="006C6620"/>
    <w:rsid w:val="006C69EE"/>
    <w:rsid w:val="006C6F22"/>
    <w:rsid w:val="006C79BB"/>
    <w:rsid w:val="006C79C2"/>
    <w:rsid w:val="006C7D81"/>
    <w:rsid w:val="006C7DFF"/>
    <w:rsid w:val="006D0708"/>
    <w:rsid w:val="006D1655"/>
    <w:rsid w:val="006D240C"/>
    <w:rsid w:val="006D425E"/>
    <w:rsid w:val="006D48A6"/>
    <w:rsid w:val="006D5C2C"/>
    <w:rsid w:val="006D68B2"/>
    <w:rsid w:val="006D7ABD"/>
    <w:rsid w:val="006D7FA7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C09"/>
    <w:rsid w:val="006E5522"/>
    <w:rsid w:val="006E6264"/>
    <w:rsid w:val="006F0740"/>
    <w:rsid w:val="006F1E31"/>
    <w:rsid w:val="006F25CF"/>
    <w:rsid w:val="006F26BE"/>
    <w:rsid w:val="006F4261"/>
    <w:rsid w:val="006F4F34"/>
    <w:rsid w:val="006F5483"/>
    <w:rsid w:val="006F6E1B"/>
    <w:rsid w:val="007001D0"/>
    <w:rsid w:val="007003DA"/>
    <w:rsid w:val="00701012"/>
    <w:rsid w:val="007013F6"/>
    <w:rsid w:val="0070400C"/>
    <w:rsid w:val="00704319"/>
    <w:rsid w:val="0070488D"/>
    <w:rsid w:val="00704BFD"/>
    <w:rsid w:val="0070509E"/>
    <w:rsid w:val="00705524"/>
    <w:rsid w:val="007058A0"/>
    <w:rsid w:val="00705CAC"/>
    <w:rsid w:val="0070626C"/>
    <w:rsid w:val="00706C09"/>
    <w:rsid w:val="0071184A"/>
    <w:rsid w:val="00712E6D"/>
    <w:rsid w:val="007134AA"/>
    <w:rsid w:val="00713C9F"/>
    <w:rsid w:val="00714FB2"/>
    <w:rsid w:val="007158C3"/>
    <w:rsid w:val="007159BA"/>
    <w:rsid w:val="00715E13"/>
    <w:rsid w:val="0071674B"/>
    <w:rsid w:val="00720B5D"/>
    <w:rsid w:val="0072106C"/>
    <w:rsid w:val="0072143A"/>
    <w:rsid w:val="00722C1F"/>
    <w:rsid w:val="0072360D"/>
    <w:rsid w:val="00725071"/>
    <w:rsid w:val="00725ABE"/>
    <w:rsid w:val="00726174"/>
    <w:rsid w:val="007303A5"/>
    <w:rsid w:val="00730938"/>
    <w:rsid w:val="0073176C"/>
    <w:rsid w:val="007317B6"/>
    <w:rsid w:val="00731E59"/>
    <w:rsid w:val="0073241B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6267"/>
    <w:rsid w:val="007771C5"/>
    <w:rsid w:val="00777974"/>
    <w:rsid w:val="00780173"/>
    <w:rsid w:val="007839B3"/>
    <w:rsid w:val="00785D69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42"/>
    <w:rsid w:val="007A4AEF"/>
    <w:rsid w:val="007A51FF"/>
    <w:rsid w:val="007A54A1"/>
    <w:rsid w:val="007A7055"/>
    <w:rsid w:val="007A7748"/>
    <w:rsid w:val="007B043A"/>
    <w:rsid w:val="007B1C97"/>
    <w:rsid w:val="007B3696"/>
    <w:rsid w:val="007B4A78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4A80"/>
    <w:rsid w:val="00805172"/>
    <w:rsid w:val="00805546"/>
    <w:rsid w:val="00806BE4"/>
    <w:rsid w:val="00806F99"/>
    <w:rsid w:val="00807724"/>
    <w:rsid w:val="00810B98"/>
    <w:rsid w:val="00811B3B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5BE6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05D"/>
    <w:rsid w:val="0086510A"/>
    <w:rsid w:val="00865C79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6B7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5F44"/>
    <w:rsid w:val="008A6166"/>
    <w:rsid w:val="008A7772"/>
    <w:rsid w:val="008A7D50"/>
    <w:rsid w:val="008B0223"/>
    <w:rsid w:val="008B0FC3"/>
    <w:rsid w:val="008B22EE"/>
    <w:rsid w:val="008B465D"/>
    <w:rsid w:val="008B6062"/>
    <w:rsid w:val="008B727F"/>
    <w:rsid w:val="008B7506"/>
    <w:rsid w:val="008B7DCA"/>
    <w:rsid w:val="008C0460"/>
    <w:rsid w:val="008C096E"/>
    <w:rsid w:val="008C09CC"/>
    <w:rsid w:val="008C0FBD"/>
    <w:rsid w:val="008C1907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35B"/>
    <w:rsid w:val="008F5AAD"/>
    <w:rsid w:val="008F622D"/>
    <w:rsid w:val="008F6DA7"/>
    <w:rsid w:val="008F7CB0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10BC4"/>
    <w:rsid w:val="009121BF"/>
    <w:rsid w:val="009123B7"/>
    <w:rsid w:val="009128F3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0E10"/>
    <w:rsid w:val="009321FE"/>
    <w:rsid w:val="00934279"/>
    <w:rsid w:val="009359D3"/>
    <w:rsid w:val="009428A3"/>
    <w:rsid w:val="00942EDF"/>
    <w:rsid w:val="009440B4"/>
    <w:rsid w:val="0094458E"/>
    <w:rsid w:val="00946640"/>
    <w:rsid w:val="00950845"/>
    <w:rsid w:val="009560B9"/>
    <w:rsid w:val="009572CC"/>
    <w:rsid w:val="009600F6"/>
    <w:rsid w:val="00960EC7"/>
    <w:rsid w:val="00963BEA"/>
    <w:rsid w:val="00965E18"/>
    <w:rsid w:val="00966AAB"/>
    <w:rsid w:val="00966D14"/>
    <w:rsid w:val="00970363"/>
    <w:rsid w:val="00970B2A"/>
    <w:rsid w:val="009714B3"/>
    <w:rsid w:val="0097216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706A"/>
    <w:rsid w:val="00997819"/>
    <w:rsid w:val="00997C23"/>
    <w:rsid w:val="009A01E3"/>
    <w:rsid w:val="009A206D"/>
    <w:rsid w:val="009A2357"/>
    <w:rsid w:val="009A5277"/>
    <w:rsid w:val="009A5585"/>
    <w:rsid w:val="009A61A0"/>
    <w:rsid w:val="009A7E34"/>
    <w:rsid w:val="009B2022"/>
    <w:rsid w:val="009B24D5"/>
    <w:rsid w:val="009B268D"/>
    <w:rsid w:val="009B3FC5"/>
    <w:rsid w:val="009B6420"/>
    <w:rsid w:val="009B6DA3"/>
    <w:rsid w:val="009B7F76"/>
    <w:rsid w:val="009C0293"/>
    <w:rsid w:val="009C0744"/>
    <w:rsid w:val="009C0828"/>
    <w:rsid w:val="009C4A9A"/>
    <w:rsid w:val="009C72A8"/>
    <w:rsid w:val="009D0564"/>
    <w:rsid w:val="009D1BC4"/>
    <w:rsid w:val="009D3358"/>
    <w:rsid w:val="009D40EE"/>
    <w:rsid w:val="009D4476"/>
    <w:rsid w:val="009D4BD0"/>
    <w:rsid w:val="009D7D6D"/>
    <w:rsid w:val="009E2B08"/>
    <w:rsid w:val="009E4C9B"/>
    <w:rsid w:val="009E79F0"/>
    <w:rsid w:val="009F04AD"/>
    <w:rsid w:val="009F1969"/>
    <w:rsid w:val="009F422E"/>
    <w:rsid w:val="009F6B98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13E2"/>
    <w:rsid w:val="00A22863"/>
    <w:rsid w:val="00A22B75"/>
    <w:rsid w:val="00A2351E"/>
    <w:rsid w:val="00A24347"/>
    <w:rsid w:val="00A25AFA"/>
    <w:rsid w:val="00A26CBA"/>
    <w:rsid w:val="00A26E3F"/>
    <w:rsid w:val="00A31862"/>
    <w:rsid w:val="00A31869"/>
    <w:rsid w:val="00A33947"/>
    <w:rsid w:val="00A34171"/>
    <w:rsid w:val="00A34524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2BBB"/>
    <w:rsid w:val="00A5363C"/>
    <w:rsid w:val="00A53974"/>
    <w:rsid w:val="00A54AF7"/>
    <w:rsid w:val="00A54BCC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5AF"/>
    <w:rsid w:val="00A80BAE"/>
    <w:rsid w:val="00A81907"/>
    <w:rsid w:val="00A82014"/>
    <w:rsid w:val="00A829AB"/>
    <w:rsid w:val="00A8419E"/>
    <w:rsid w:val="00A8601C"/>
    <w:rsid w:val="00A865BA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26AF"/>
    <w:rsid w:val="00AA3723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072E"/>
    <w:rsid w:val="00AC23B9"/>
    <w:rsid w:val="00AC25B4"/>
    <w:rsid w:val="00AC4563"/>
    <w:rsid w:val="00AC49AD"/>
    <w:rsid w:val="00AC55E3"/>
    <w:rsid w:val="00AC659A"/>
    <w:rsid w:val="00AD0132"/>
    <w:rsid w:val="00AD0287"/>
    <w:rsid w:val="00AD14B2"/>
    <w:rsid w:val="00AD2D0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53DA"/>
    <w:rsid w:val="00AE55FE"/>
    <w:rsid w:val="00AE5DA0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CF5"/>
    <w:rsid w:val="00B11AE4"/>
    <w:rsid w:val="00B1229D"/>
    <w:rsid w:val="00B15735"/>
    <w:rsid w:val="00B16411"/>
    <w:rsid w:val="00B16BF6"/>
    <w:rsid w:val="00B17BCA"/>
    <w:rsid w:val="00B22613"/>
    <w:rsid w:val="00B23A96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0068"/>
    <w:rsid w:val="00B41D07"/>
    <w:rsid w:val="00B4317D"/>
    <w:rsid w:val="00B436A2"/>
    <w:rsid w:val="00B44B07"/>
    <w:rsid w:val="00B4639C"/>
    <w:rsid w:val="00B46609"/>
    <w:rsid w:val="00B46C58"/>
    <w:rsid w:val="00B473A7"/>
    <w:rsid w:val="00B4759A"/>
    <w:rsid w:val="00B47E81"/>
    <w:rsid w:val="00B503CE"/>
    <w:rsid w:val="00B52CF1"/>
    <w:rsid w:val="00B52DA9"/>
    <w:rsid w:val="00B53862"/>
    <w:rsid w:val="00B53CAE"/>
    <w:rsid w:val="00B53E30"/>
    <w:rsid w:val="00B558DB"/>
    <w:rsid w:val="00B55A41"/>
    <w:rsid w:val="00B56E00"/>
    <w:rsid w:val="00B57122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00DA"/>
    <w:rsid w:val="00B72812"/>
    <w:rsid w:val="00B73A94"/>
    <w:rsid w:val="00B73A96"/>
    <w:rsid w:val="00B74A52"/>
    <w:rsid w:val="00B74AE4"/>
    <w:rsid w:val="00B74D4F"/>
    <w:rsid w:val="00B7728D"/>
    <w:rsid w:val="00B77485"/>
    <w:rsid w:val="00B7787C"/>
    <w:rsid w:val="00B8155C"/>
    <w:rsid w:val="00B86319"/>
    <w:rsid w:val="00B86D50"/>
    <w:rsid w:val="00B918C6"/>
    <w:rsid w:val="00B932A7"/>
    <w:rsid w:val="00B935AF"/>
    <w:rsid w:val="00B94433"/>
    <w:rsid w:val="00B95BAE"/>
    <w:rsid w:val="00B97BEA"/>
    <w:rsid w:val="00BA04B2"/>
    <w:rsid w:val="00BA0A54"/>
    <w:rsid w:val="00BA19C7"/>
    <w:rsid w:val="00BA3D94"/>
    <w:rsid w:val="00BA4474"/>
    <w:rsid w:val="00BA793F"/>
    <w:rsid w:val="00BB3138"/>
    <w:rsid w:val="00BB385B"/>
    <w:rsid w:val="00BB5C8B"/>
    <w:rsid w:val="00BB6231"/>
    <w:rsid w:val="00BB73BD"/>
    <w:rsid w:val="00BB7BB3"/>
    <w:rsid w:val="00BC0089"/>
    <w:rsid w:val="00BC032D"/>
    <w:rsid w:val="00BC12AE"/>
    <w:rsid w:val="00BC2E00"/>
    <w:rsid w:val="00BC2FAF"/>
    <w:rsid w:val="00BC5376"/>
    <w:rsid w:val="00BC67B9"/>
    <w:rsid w:val="00BC7952"/>
    <w:rsid w:val="00BD0890"/>
    <w:rsid w:val="00BD0EB4"/>
    <w:rsid w:val="00BD1030"/>
    <w:rsid w:val="00BD2388"/>
    <w:rsid w:val="00BD2693"/>
    <w:rsid w:val="00BD4BB6"/>
    <w:rsid w:val="00BD53E1"/>
    <w:rsid w:val="00BD5E34"/>
    <w:rsid w:val="00BD7FF5"/>
    <w:rsid w:val="00BE0360"/>
    <w:rsid w:val="00BE05A5"/>
    <w:rsid w:val="00BE0EBD"/>
    <w:rsid w:val="00BE1584"/>
    <w:rsid w:val="00BE1962"/>
    <w:rsid w:val="00BE1B22"/>
    <w:rsid w:val="00BE5942"/>
    <w:rsid w:val="00BE71EE"/>
    <w:rsid w:val="00BF2E28"/>
    <w:rsid w:val="00BF461D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27AD9"/>
    <w:rsid w:val="00C31626"/>
    <w:rsid w:val="00C31E1B"/>
    <w:rsid w:val="00C32C8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A0D"/>
    <w:rsid w:val="00C63E04"/>
    <w:rsid w:val="00C63E26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BD8"/>
    <w:rsid w:val="00C74C65"/>
    <w:rsid w:val="00C76AA4"/>
    <w:rsid w:val="00C83128"/>
    <w:rsid w:val="00C834F9"/>
    <w:rsid w:val="00C83DCC"/>
    <w:rsid w:val="00C843AC"/>
    <w:rsid w:val="00C84540"/>
    <w:rsid w:val="00C85286"/>
    <w:rsid w:val="00C852EB"/>
    <w:rsid w:val="00C85531"/>
    <w:rsid w:val="00C8642A"/>
    <w:rsid w:val="00C8748C"/>
    <w:rsid w:val="00C874A0"/>
    <w:rsid w:val="00C87F97"/>
    <w:rsid w:val="00C918A8"/>
    <w:rsid w:val="00C91E59"/>
    <w:rsid w:val="00C91F21"/>
    <w:rsid w:val="00C92AE1"/>
    <w:rsid w:val="00C94960"/>
    <w:rsid w:val="00C95624"/>
    <w:rsid w:val="00C96C52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4B2B"/>
    <w:rsid w:val="00CD6174"/>
    <w:rsid w:val="00CD6F45"/>
    <w:rsid w:val="00CE3BCE"/>
    <w:rsid w:val="00CE3E22"/>
    <w:rsid w:val="00CE5C9C"/>
    <w:rsid w:val="00CE6707"/>
    <w:rsid w:val="00CE7945"/>
    <w:rsid w:val="00CF0015"/>
    <w:rsid w:val="00CF0AD2"/>
    <w:rsid w:val="00CF2A64"/>
    <w:rsid w:val="00CF2B23"/>
    <w:rsid w:val="00CF30C0"/>
    <w:rsid w:val="00CF386D"/>
    <w:rsid w:val="00CF3B0C"/>
    <w:rsid w:val="00CF5748"/>
    <w:rsid w:val="00CF6255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4BE0"/>
    <w:rsid w:val="00D16610"/>
    <w:rsid w:val="00D17062"/>
    <w:rsid w:val="00D17C0F"/>
    <w:rsid w:val="00D205EF"/>
    <w:rsid w:val="00D20C3F"/>
    <w:rsid w:val="00D21BE3"/>
    <w:rsid w:val="00D21DC4"/>
    <w:rsid w:val="00D22B90"/>
    <w:rsid w:val="00D25685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37DA6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3B38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D1B"/>
    <w:rsid w:val="00D67FCF"/>
    <w:rsid w:val="00D713C3"/>
    <w:rsid w:val="00D71E67"/>
    <w:rsid w:val="00D72067"/>
    <w:rsid w:val="00D72569"/>
    <w:rsid w:val="00D740E2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822"/>
    <w:rsid w:val="00D86A07"/>
    <w:rsid w:val="00D871BD"/>
    <w:rsid w:val="00D87442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3FB6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3783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280C"/>
    <w:rsid w:val="00E33AA2"/>
    <w:rsid w:val="00E341C7"/>
    <w:rsid w:val="00E3431A"/>
    <w:rsid w:val="00E3551D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19C5"/>
    <w:rsid w:val="00E8222F"/>
    <w:rsid w:val="00E8292C"/>
    <w:rsid w:val="00E831F3"/>
    <w:rsid w:val="00E835B4"/>
    <w:rsid w:val="00E8363C"/>
    <w:rsid w:val="00E843E4"/>
    <w:rsid w:val="00E8471F"/>
    <w:rsid w:val="00E8514D"/>
    <w:rsid w:val="00E852FE"/>
    <w:rsid w:val="00E85AD4"/>
    <w:rsid w:val="00E90C2B"/>
    <w:rsid w:val="00E91BE7"/>
    <w:rsid w:val="00E91F09"/>
    <w:rsid w:val="00E92330"/>
    <w:rsid w:val="00E927FC"/>
    <w:rsid w:val="00E9445B"/>
    <w:rsid w:val="00E96984"/>
    <w:rsid w:val="00E96AF7"/>
    <w:rsid w:val="00E97F3F"/>
    <w:rsid w:val="00EA01FA"/>
    <w:rsid w:val="00EA186D"/>
    <w:rsid w:val="00EA3829"/>
    <w:rsid w:val="00EA536A"/>
    <w:rsid w:val="00EA5E41"/>
    <w:rsid w:val="00EA73AE"/>
    <w:rsid w:val="00EB0708"/>
    <w:rsid w:val="00EB1B5A"/>
    <w:rsid w:val="00EB1D53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C7C9A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8D6"/>
    <w:rsid w:val="00EF2D7E"/>
    <w:rsid w:val="00EF32D1"/>
    <w:rsid w:val="00EF3BEE"/>
    <w:rsid w:val="00EF432D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13FD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16D"/>
    <w:rsid w:val="00F46904"/>
    <w:rsid w:val="00F50672"/>
    <w:rsid w:val="00F51C70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286"/>
    <w:rsid w:val="00F67AEA"/>
    <w:rsid w:val="00F708DA"/>
    <w:rsid w:val="00F720AE"/>
    <w:rsid w:val="00F72359"/>
    <w:rsid w:val="00F7332C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4F62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530E"/>
    <w:rsid w:val="00FB76E9"/>
    <w:rsid w:val="00FB7C90"/>
    <w:rsid w:val="00FC035A"/>
    <w:rsid w:val="00FC12B9"/>
    <w:rsid w:val="00FC1FAC"/>
    <w:rsid w:val="00FC2065"/>
    <w:rsid w:val="00FC2498"/>
    <w:rsid w:val="00FC32AB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136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5A98EB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paragraph" w:styleId="berarbeitung">
    <w:name w:val="Revision"/>
    <w:hidden/>
    <w:uiPriority w:val="99"/>
    <w:semiHidden/>
    <w:rsid w:val="00083EA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91C0A297904E9D5BAC3227217508" ma:contentTypeVersion="13" ma:contentTypeDescription="Create a new document." ma:contentTypeScope="" ma:versionID="9b2d9a0beaa571c8c6792acf3242b2bd">
  <xsd:schema xmlns:xsd="http://www.w3.org/2001/XMLSchema" xmlns:xs="http://www.w3.org/2001/XMLSchema" xmlns:p="http://schemas.microsoft.com/office/2006/metadata/properties" xmlns:ns3="2f12fc34-f1dc-44f0-9e2f-50336bd15f77" xmlns:ns4="be192a78-5895-402e-a1c0-bf53bcda2ea2" targetNamespace="http://schemas.microsoft.com/office/2006/metadata/properties" ma:root="true" ma:fieldsID="8f1c78af66d20655cd9ad67ab4c23518" ns3:_="" ns4:_="">
    <xsd:import namespace="2f12fc34-f1dc-44f0-9e2f-50336bd15f77"/>
    <xsd:import namespace="be192a78-5895-402e-a1c0-bf53bcda2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fc34-f1dc-44f0-9e2f-50336bd1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2a78-5895-402e-a1c0-bf53bcda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363-4F60-4D9D-9261-8E5116B5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2fc34-f1dc-44f0-9e2f-50336bd15f77"/>
    <ds:schemaRef ds:uri="be192a78-5895-402e-a1c0-bf53bcda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2f12fc34-f1dc-44f0-9e2f-50336bd15f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e192a78-5895-402e-a1c0-bf53bcda2e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B137C-292B-475C-A385-45C38959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Perfektes Retrofitrezept für Almi</vt:lpstr>
    </vt:vector>
  </TitlesOfParts>
  <Company>Klug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Perfektes Retrofitrezept für Almi</dc:title>
  <dc:subject/>
  <dc:creator>Tahedl Alexander</dc:creator>
  <cp:keywords>Perfektes Retrofitrezept für Almi</cp:keywords>
  <dc:description>Perfektes Retrofitrezept für Almi</dc:description>
  <cp:lastModifiedBy>Tahedl Alexander</cp:lastModifiedBy>
  <cp:revision>65</cp:revision>
  <cp:lastPrinted>2022-05-10T12:38:00Z</cp:lastPrinted>
  <dcterms:created xsi:type="dcterms:W3CDTF">2021-04-14T17:10:00Z</dcterms:created>
  <dcterms:modified xsi:type="dcterms:W3CDTF">2022-09-20T15:14:00Z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0x0101003C2C91C0A297904E9D5BAC3227217508</vt:lpwstr>
  </property>
</Properties>
</file>