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D5416" w14:textId="708AB150" w:rsidR="00606EB8" w:rsidRDefault="00B46C58" w:rsidP="00660132">
      <w:pPr>
        <w:spacing w:line="360" w:lineRule="auto"/>
        <w:ind w:left="0" w:right="1693"/>
        <w:jc w:val="left"/>
        <w:rPr>
          <w:rStyle w:val="Hyperlink"/>
          <w:b/>
          <w:color w:val="auto"/>
          <w:sz w:val="28"/>
          <w:szCs w:val="28"/>
          <w:u w:val="none"/>
          <w:lang w:val="de-AT"/>
        </w:rPr>
      </w:pPr>
      <w:r w:rsidRPr="00B46C58">
        <w:rPr>
          <w:rStyle w:val="Hyperlink"/>
          <w:b/>
          <w:color w:val="auto"/>
          <w:sz w:val="28"/>
          <w:szCs w:val="28"/>
          <w:u w:val="none"/>
          <w:lang w:val="de-AT"/>
        </w:rPr>
        <w:t>10 Erfolgsfaktoren für die Wartung einer Intralogistikanlage</w:t>
      </w:r>
    </w:p>
    <w:p w14:paraId="13C12D7F" w14:textId="77777777" w:rsidR="003856E8" w:rsidRPr="00C83DCC" w:rsidRDefault="003856E8" w:rsidP="00660132">
      <w:pPr>
        <w:spacing w:line="360" w:lineRule="auto"/>
        <w:ind w:left="0" w:right="1693"/>
        <w:jc w:val="left"/>
        <w:rPr>
          <w:rStyle w:val="Hyperlink"/>
          <w:b/>
          <w:color w:val="auto"/>
          <w:sz w:val="16"/>
          <w:szCs w:val="16"/>
          <w:u w:val="none"/>
          <w:lang w:val="de-AT"/>
        </w:rPr>
      </w:pPr>
    </w:p>
    <w:p w14:paraId="0A4BE0E1" w14:textId="4598E8E7" w:rsidR="00B46C58" w:rsidRPr="00475D53" w:rsidRDefault="003856E8" w:rsidP="00660132">
      <w:pPr>
        <w:pStyle w:val="Listenabsatz"/>
        <w:numPr>
          <w:ilvl w:val="0"/>
          <w:numId w:val="11"/>
        </w:numPr>
        <w:spacing w:line="360" w:lineRule="auto"/>
        <w:ind w:left="714" w:right="1693" w:hanging="357"/>
        <w:jc w:val="left"/>
        <w:rPr>
          <w:rFonts w:eastAsia="Times New Roman" w:cs="Arial"/>
          <w:b/>
          <w:bCs/>
          <w:iCs/>
          <w:sz w:val="22"/>
          <w:lang w:val="de-AT" w:eastAsia="de-AT"/>
        </w:rPr>
      </w:pPr>
      <w:r w:rsidRPr="00475D53">
        <w:rPr>
          <w:rFonts w:eastAsia="Times New Roman" w:cs="Arial"/>
          <w:b/>
          <w:bCs/>
          <w:iCs/>
          <w:sz w:val="22"/>
          <w:lang w:val="de-AT" w:eastAsia="de-AT"/>
        </w:rPr>
        <w:t>Intralogistik-Spezialist</w:t>
      </w:r>
      <w:r w:rsidR="00B46C58" w:rsidRPr="00475D53">
        <w:rPr>
          <w:rFonts w:eastAsia="Times New Roman" w:cs="Arial"/>
          <w:b/>
          <w:bCs/>
          <w:iCs/>
          <w:sz w:val="22"/>
          <w:lang w:val="de-AT" w:eastAsia="de-AT"/>
        </w:rPr>
        <w:t xml:space="preserve"> TGW hat aus </w:t>
      </w:r>
      <w:r w:rsidR="00475D53" w:rsidRPr="00475D53">
        <w:rPr>
          <w:rFonts w:eastAsia="Times New Roman" w:cs="Arial"/>
          <w:b/>
          <w:bCs/>
          <w:iCs/>
          <w:sz w:val="22"/>
          <w:lang w:val="de-AT" w:eastAsia="de-AT"/>
        </w:rPr>
        <w:t xml:space="preserve">der Erfahrung </w:t>
      </w:r>
      <w:r w:rsidR="00EA536A">
        <w:rPr>
          <w:rFonts w:eastAsia="Times New Roman" w:cs="Arial"/>
          <w:b/>
          <w:bCs/>
          <w:iCs/>
          <w:sz w:val="22"/>
          <w:lang w:val="de-AT" w:eastAsia="de-AT"/>
        </w:rPr>
        <w:t>zahlreicher</w:t>
      </w:r>
      <w:r w:rsidR="00D94408" w:rsidRPr="00475D53">
        <w:rPr>
          <w:rFonts w:eastAsia="Times New Roman" w:cs="Arial"/>
          <w:b/>
          <w:bCs/>
          <w:iCs/>
          <w:sz w:val="22"/>
          <w:lang w:val="de-AT" w:eastAsia="de-AT"/>
        </w:rPr>
        <w:t xml:space="preserve"> </w:t>
      </w:r>
      <w:r w:rsidR="00EA536A">
        <w:rPr>
          <w:rFonts w:eastAsia="Times New Roman" w:cs="Arial"/>
          <w:b/>
          <w:bCs/>
          <w:iCs/>
          <w:sz w:val="22"/>
          <w:lang w:val="de-AT" w:eastAsia="de-AT"/>
        </w:rPr>
        <w:t>Kundenprojekte</w:t>
      </w:r>
      <w:r w:rsidR="00B46C58" w:rsidRPr="00475D53">
        <w:rPr>
          <w:rFonts w:eastAsia="Times New Roman" w:cs="Arial"/>
          <w:b/>
          <w:bCs/>
          <w:iCs/>
          <w:sz w:val="22"/>
          <w:lang w:val="de-AT" w:eastAsia="de-AT"/>
        </w:rPr>
        <w:t xml:space="preserve"> ein Erfolgsrezept formuliert</w:t>
      </w:r>
    </w:p>
    <w:p w14:paraId="4920AC0E" w14:textId="0645B523" w:rsidR="00B46C58" w:rsidRPr="00475D53" w:rsidRDefault="00B46C58" w:rsidP="00660132">
      <w:pPr>
        <w:pStyle w:val="Listenabsatz"/>
        <w:numPr>
          <w:ilvl w:val="0"/>
          <w:numId w:val="11"/>
        </w:numPr>
        <w:spacing w:line="360" w:lineRule="auto"/>
        <w:ind w:left="714" w:right="1693" w:hanging="357"/>
        <w:jc w:val="left"/>
        <w:rPr>
          <w:rFonts w:eastAsia="Times New Roman" w:cs="Arial"/>
          <w:b/>
          <w:bCs/>
          <w:iCs/>
          <w:sz w:val="22"/>
          <w:lang w:val="de-AT" w:eastAsia="de-AT"/>
        </w:rPr>
      </w:pPr>
      <w:r w:rsidRPr="00475D53">
        <w:rPr>
          <w:rFonts w:eastAsia="Times New Roman" w:cs="Arial"/>
          <w:b/>
          <w:bCs/>
          <w:iCs/>
          <w:sz w:val="22"/>
          <w:lang w:val="de-AT" w:eastAsia="de-AT"/>
        </w:rPr>
        <w:t xml:space="preserve">Lösungsanbieter aus Österreich hat die Zahl der Kundendienstmitarbeiter </w:t>
      </w:r>
      <w:r w:rsidR="00FE7691" w:rsidRPr="00475D53">
        <w:rPr>
          <w:rFonts w:eastAsia="Times New Roman" w:cs="Arial"/>
          <w:b/>
          <w:bCs/>
          <w:iCs/>
          <w:sz w:val="22"/>
          <w:lang w:val="de-AT" w:eastAsia="de-AT"/>
        </w:rPr>
        <w:t xml:space="preserve">seit 2015 </w:t>
      </w:r>
      <w:r w:rsidRPr="00475D53">
        <w:rPr>
          <w:rFonts w:eastAsia="Times New Roman" w:cs="Arial"/>
          <w:b/>
          <w:bCs/>
          <w:iCs/>
          <w:sz w:val="22"/>
          <w:lang w:val="de-AT" w:eastAsia="de-AT"/>
        </w:rPr>
        <w:t>mehr als verdoppelt</w:t>
      </w:r>
    </w:p>
    <w:p w14:paraId="38A7AA47" w14:textId="7560BC1C" w:rsidR="00B46C58" w:rsidRPr="00475D53" w:rsidRDefault="00B46C58" w:rsidP="00660132">
      <w:pPr>
        <w:pStyle w:val="Listenabsatz"/>
        <w:numPr>
          <w:ilvl w:val="0"/>
          <w:numId w:val="11"/>
        </w:numPr>
        <w:spacing w:line="360" w:lineRule="auto"/>
        <w:ind w:left="714" w:right="1693" w:hanging="357"/>
        <w:jc w:val="left"/>
        <w:rPr>
          <w:rFonts w:eastAsia="Times New Roman" w:cs="Arial"/>
          <w:b/>
          <w:bCs/>
          <w:iCs/>
          <w:sz w:val="22"/>
          <w:lang w:val="de-AT" w:eastAsia="de-AT"/>
        </w:rPr>
      </w:pPr>
      <w:r w:rsidRPr="00475D53">
        <w:rPr>
          <w:rFonts w:eastAsia="Times New Roman" w:cs="Arial"/>
          <w:b/>
          <w:bCs/>
          <w:iCs/>
          <w:sz w:val="22"/>
          <w:lang w:val="de-AT" w:eastAsia="de-AT"/>
        </w:rPr>
        <w:t xml:space="preserve">Gesamtkostenbetrachtung über den Lebenszyklus immer </w:t>
      </w:r>
      <w:r w:rsidR="00C00CE0" w:rsidRPr="00475D53">
        <w:rPr>
          <w:rFonts w:eastAsia="Times New Roman" w:cs="Arial"/>
          <w:b/>
          <w:bCs/>
          <w:iCs/>
          <w:sz w:val="22"/>
          <w:lang w:val="de-AT" w:eastAsia="de-AT"/>
        </w:rPr>
        <w:t>stärker</w:t>
      </w:r>
      <w:r w:rsidRPr="00475D53">
        <w:rPr>
          <w:rFonts w:eastAsia="Times New Roman" w:cs="Arial"/>
          <w:b/>
          <w:bCs/>
          <w:iCs/>
          <w:sz w:val="22"/>
          <w:lang w:val="de-AT" w:eastAsia="de-AT"/>
        </w:rPr>
        <w:t xml:space="preserve"> </w:t>
      </w:r>
      <w:r w:rsidR="00D94408" w:rsidRPr="00475D53">
        <w:rPr>
          <w:rFonts w:eastAsia="Times New Roman" w:cs="Arial"/>
          <w:b/>
          <w:bCs/>
          <w:iCs/>
          <w:sz w:val="22"/>
          <w:lang w:val="de-AT" w:eastAsia="de-AT"/>
        </w:rPr>
        <w:t>im</w:t>
      </w:r>
      <w:r w:rsidR="00BB5C8B">
        <w:rPr>
          <w:rFonts w:eastAsia="Times New Roman" w:cs="Arial"/>
          <w:b/>
          <w:bCs/>
          <w:iCs/>
          <w:sz w:val="22"/>
          <w:lang w:val="de-AT" w:eastAsia="de-AT"/>
        </w:rPr>
        <w:t xml:space="preserve"> Fokus</w:t>
      </w:r>
    </w:p>
    <w:p w14:paraId="036C0CAA" w14:textId="62FB2FD9" w:rsidR="00B46C58" w:rsidRPr="003856E8" w:rsidRDefault="003856E8" w:rsidP="00660132">
      <w:pPr>
        <w:spacing w:line="360" w:lineRule="auto"/>
        <w:ind w:left="0" w:right="1693"/>
        <w:rPr>
          <w:rStyle w:val="Hyperlink"/>
          <w:b/>
          <w:color w:val="auto"/>
          <w:u w:val="none"/>
        </w:rPr>
      </w:pPr>
      <w:r w:rsidRPr="003856E8">
        <w:rPr>
          <w:rStyle w:val="Hyperlink"/>
          <w:b/>
          <w:color w:val="auto"/>
          <w:u w:val="none"/>
        </w:rPr>
        <w:br/>
      </w:r>
      <w:r>
        <w:rPr>
          <w:rStyle w:val="Hyperlink"/>
          <w:b/>
          <w:color w:val="auto"/>
          <w:u w:val="none"/>
        </w:rPr>
        <w:t>(</w:t>
      </w:r>
      <w:r w:rsidR="000E20AF" w:rsidRPr="003856E8">
        <w:rPr>
          <w:rStyle w:val="Hyperlink"/>
          <w:b/>
          <w:color w:val="auto"/>
          <w:u w:val="none"/>
        </w:rPr>
        <w:t>Marchtrenk</w:t>
      </w:r>
      <w:r w:rsidR="00C00CE0" w:rsidRPr="003856E8">
        <w:rPr>
          <w:rStyle w:val="Hyperlink"/>
          <w:b/>
          <w:color w:val="auto"/>
          <w:u w:val="none"/>
        </w:rPr>
        <w:t>,</w:t>
      </w:r>
      <w:r w:rsidR="00B46C58" w:rsidRPr="003856E8">
        <w:rPr>
          <w:rStyle w:val="Hyperlink"/>
          <w:b/>
          <w:color w:val="auto"/>
          <w:u w:val="none"/>
        </w:rPr>
        <w:t xml:space="preserve"> </w:t>
      </w:r>
      <w:r w:rsidR="007013F6">
        <w:rPr>
          <w:rStyle w:val="Hyperlink"/>
          <w:b/>
          <w:color w:val="auto"/>
          <w:u w:val="none"/>
        </w:rPr>
        <w:t>23</w:t>
      </w:r>
      <w:r w:rsidR="00B46C58" w:rsidRPr="003856E8">
        <w:rPr>
          <w:rStyle w:val="Hyperlink"/>
          <w:b/>
          <w:color w:val="auto"/>
          <w:u w:val="none"/>
        </w:rPr>
        <w:t>.5.2019</w:t>
      </w:r>
      <w:r>
        <w:rPr>
          <w:rStyle w:val="Hyperlink"/>
          <w:b/>
          <w:color w:val="auto"/>
          <w:u w:val="none"/>
        </w:rPr>
        <w:t>)</w:t>
      </w:r>
      <w:r w:rsidR="00B46C58" w:rsidRPr="003856E8">
        <w:rPr>
          <w:rStyle w:val="Hyperlink"/>
          <w:b/>
          <w:color w:val="auto"/>
          <w:u w:val="none"/>
        </w:rPr>
        <w:t xml:space="preserve"> Zwischen </w:t>
      </w:r>
      <w:r w:rsidR="00475D53">
        <w:rPr>
          <w:rStyle w:val="Hyperlink"/>
          <w:b/>
          <w:color w:val="auto"/>
          <w:u w:val="none"/>
        </w:rPr>
        <w:t>der frühen</w:t>
      </w:r>
      <w:r w:rsidR="00B46C58" w:rsidRPr="003856E8">
        <w:rPr>
          <w:rStyle w:val="Hyperlink"/>
          <w:b/>
          <w:color w:val="auto"/>
          <w:u w:val="none"/>
        </w:rPr>
        <w:t xml:space="preserve"> Einbindung von Experten, Datenanalysen und laufender Weiterentwicklung hat der österreichische </w:t>
      </w:r>
      <w:r w:rsidR="00475D53">
        <w:rPr>
          <w:rStyle w:val="Hyperlink"/>
          <w:b/>
          <w:color w:val="auto"/>
          <w:u w:val="none"/>
        </w:rPr>
        <w:t>Systemintegrator</w:t>
      </w:r>
      <w:r w:rsidR="00B46C58" w:rsidRPr="003856E8">
        <w:rPr>
          <w:rStyle w:val="Hyperlink"/>
          <w:b/>
          <w:color w:val="auto"/>
          <w:u w:val="none"/>
        </w:rPr>
        <w:t xml:space="preserve"> TGW </w:t>
      </w:r>
      <w:r w:rsidR="00DC51F7">
        <w:rPr>
          <w:rStyle w:val="Hyperlink"/>
          <w:b/>
          <w:color w:val="auto"/>
          <w:u w:val="none"/>
        </w:rPr>
        <w:t>zehn</w:t>
      </w:r>
      <w:r w:rsidR="00DC51F7" w:rsidRPr="003856E8">
        <w:rPr>
          <w:rStyle w:val="Hyperlink"/>
          <w:b/>
          <w:color w:val="auto"/>
          <w:u w:val="none"/>
        </w:rPr>
        <w:t xml:space="preserve"> </w:t>
      </w:r>
      <w:r w:rsidR="00B46C58" w:rsidRPr="003856E8">
        <w:rPr>
          <w:rStyle w:val="Hyperlink"/>
          <w:b/>
          <w:color w:val="auto"/>
          <w:u w:val="none"/>
        </w:rPr>
        <w:t xml:space="preserve">Erfolgsfaktoren für die Wartung </w:t>
      </w:r>
      <w:r w:rsidR="00C00CE0" w:rsidRPr="003856E8">
        <w:rPr>
          <w:rStyle w:val="Hyperlink"/>
          <w:b/>
          <w:color w:val="auto"/>
          <w:u w:val="none"/>
        </w:rPr>
        <w:t>einer</w:t>
      </w:r>
      <w:r w:rsidR="00B46C58" w:rsidRPr="003856E8">
        <w:rPr>
          <w:rStyle w:val="Hyperlink"/>
          <w:b/>
          <w:color w:val="auto"/>
          <w:u w:val="none"/>
        </w:rPr>
        <w:t xml:space="preserve"> Intralogistikanlage identifiziert. </w:t>
      </w:r>
      <w:r w:rsidR="007B5E3F" w:rsidRPr="007B5E3F">
        <w:rPr>
          <w:rStyle w:val="Hyperlink"/>
          <w:b/>
          <w:color w:val="auto"/>
          <w:u w:val="none"/>
        </w:rPr>
        <w:t>Ein internationales Team von Service-Experten der TGW-</w:t>
      </w:r>
      <w:r w:rsidR="00E8148C">
        <w:rPr>
          <w:rStyle w:val="Hyperlink"/>
          <w:b/>
          <w:color w:val="auto"/>
          <w:u w:val="none"/>
        </w:rPr>
        <w:t>Gruppe</w:t>
      </w:r>
      <w:r w:rsidR="007B5E3F" w:rsidRPr="007B5E3F">
        <w:rPr>
          <w:rStyle w:val="Hyperlink"/>
          <w:b/>
          <w:color w:val="auto"/>
          <w:u w:val="none"/>
        </w:rPr>
        <w:t xml:space="preserve"> unter Leitung</w:t>
      </w:r>
      <w:r w:rsidR="007B5E3F">
        <w:rPr>
          <w:rStyle w:val="Hyperlink"/>
          <w:b/>
          <w:color w:val="auto"/>
          <w:u w:val="none"/>
        </w:rPr>
        <w:t xml:space="preserve"> von Christoph Knogler, Director Global Lifetime Services, hat </w:t>
      </w:r>
      <w:r w:rsidR="00475D53">
        <w:rPr>
          <w:rStyle w:val="Hyperlink"/>
          <w:b/>
          <w:color w:val="auto"/>
          <w:u w:val="none"/>
        </w:rPr>
        <w:t xml:space="preserve">gemeinsam mit </w:t>
      </w:r>
      <w:r w:rsidR="00B46C58" w:rsidRPr="003856E8">
        <w:rPr>
          <w:rStyle w:val="Hyperlink"/>
          <w:b/>
          <w:color w:val="auto"/>
          <w:u w:val="none"/>
        </w:rPr>
        <w:t xml:space="preserve">Kunden die Einflussfaktoren herausgearbeitet, die langfristigen Erfolg sicherstellen. „Den einen Weg, der für jeden passt, gibt es jedoch nicht“, betont </w:t>
      </w:r>
      <w:r w:rsidR="00BA19C7">
        <w:rPr>
          <w:rStyle w:val="Hyperlink"/>
          <w:b/>
          <w:color w:val="auto"/>
          <w:u w:val="none"/>
        </w:rPr>
        <w:t xml:space="preserve">Christoph </w:t>
      </w:r>
      <w:r w:rsidR="00B46C58" w:rsidRPr="003856E8">
        <w:rPr>
          <w:rStyle w:val="Hyperlink"/>
          <w:b/>
          <w:color w:val="auto"/>
          <w:u w:val="none"/>
        </w:rPr>
        <w:t>Knogler. „</w:t>
      </w:r>
      <w:r w:rsidR="000A33C6" w:rsidRPr="003856E8">
        <w:rPr>
          <w:rStyle w:val="Hyperlink"/>
          <w:b/>
          <w:color w:val="auto"/>
          <w:u w:val="none"/>
        </w:rPr>
        <w:t>Intralogistik</w:t>
      </w:r>
      <w:r w:rsidR="000A33C6">
        <w:rPr>
          <w:rStyle w:val="Hyperlink"/>
          <w:b/>
          <w:color w:val="auto"/>
          <w:u w:val="none"/>
        </w:rPr>
        <w:t>systeme</w:t>
      </w:r>
      <w:r w:rsidR="000A33C6" w:rsidRPr="003856E8">
        <w:rPr>
          <w:rStyle w:val="Hyperlink"/>
          <w:b/>
          <w:color w:val="auto"/>
          <w:u w:val="none"/>
        </w:rPr>
        <w:t xml:space="preserve"> </w:t>
      </w:r>
      <w:r w:rsidR="000A33C6">
        <w:rPr>
          <w:rStyle w:val="Hyperlink"/>
          <w:b/>
          <w:color w:val="auto"/>
          <w:u w:val="none"/>
        </w:rPr>
        <w:t xml:space="preserve">unterscheiden sich </w:t>
      </w:r>
      <w:r w:rsidR="00B46C58" w:rsidRPr="003856E8">
        <w:rPr>
          <w:rStyle w:val="Hyperlink"/>
          <w:b/>
          <w:color w:val="auto"/>
          <w:u w:val="none"/>
        </w:rPr>
        <w:t>in Bezug auf Funktion und Komplexität. Und so unterscheidet sich auch das Betriebs- und Wartungskonzept dahinter</w:t>
      </w:r>
      <w:r w:rsidR="005F7BE5">
        <w:rPr>
          <w:rStyle w:val="Hyperlink"/>
          <w:b/>
          <w:color w:val="auto"/>
          <w:u w:val="none"/>
        </w:rPr>
        <w:t>.</w:t>
      </w:r>
      <w:r w:rsidR="00C83DCC">
        <w:rPr>
          <w:rStyle w:val="Hyperlink"/>
          <w:b/>
          <w:color w:val="auto"/>
          <w:u w:val="none"/>
        </w:rPr>
        <w:t xml:space="preserve"> </w:t>
      </w:r>
      <w:r w:rsidR="00C83DCC" w:rsidRPr="00C83DCC">
        <w:rPr>
          <w:rStyle w:val="Hyperlink"/>
          <w:b/>
          <w:color w:val="auto"/>
          <w:u w:val="none"/>
        </w:rPr>
        <w:t>Allerdings gibt es einige Einflussfaktoren</w:t>
      </w:r>
      <w:r w:rsidR="00940669">
        <w:rPr>
          <w:rStyle w:val="Hyperlink"/>
          <w:b/>
          <w:color w:val="auto"/>
          <w:u w:val="none"/>
        </w:rPr>
        <w:t>,</w:t>
      </w:r>
      <w:r w:rsidR="00C83DCC" w:rsidRPr="00C83DCC">
        <w:rPr>
          <w:rStyle w:val="Hyperlink"/>
          <w:b/>
          <w:color w:val="auto"/>
          <w:u w:val="none"/>
        </w:rPr>
        <w:t xml:space="preserve"> auf die man jedenfalls achten sollte</w:t>
      </w:r>
      <w:r w:rsidR="00C175D3">
        <w:rPr>
          <w:rStyle w:val="Hyperlink"/>
          <w:b/>
          <w:color w:val="auto"/>
          <w:u w:val="none"/>
        </w:rPr>
        <w:t>.</w:t>
      </w:r>
      <w:r w:rsidR="005F7BE5">
        <w:rPr>
          <w:rStyle w:val="Hyperlink"/>
          <w:b/>
          <w:color w:val="auto"/>
          <w:u w:val="none"/>
        </w:rPr>
        <w:t>“</w:t>
      </w:r>
      <w:r w:rsidR="00B46C58" w:rsidRPr="003856E8">
        <w:rPr>
          <w:rStyle w:val="Hyperlink"/>
          <w:b/>
          <w:color w:val="auto"/>
          <w:u w:val="none"/>
        </w:rPr>
        <w:t xml:space="preserve"> </w:t>
      </w:r>
    </w:p>
    <w:p w14:paraId="632E7FB7" w14:textId="77777777" w:rsidR="00B46C58" w:rsidRPr="00B46C58" w:rsidRDefault="00B46C58" w:rsidP="00660132">
      <w:pPr>
        <w:spacing w:line="360" w:lineRule="auto"/>
        <w:ind w:left="0" w:right="1693"/>
        <w:rPr>
          <w:rStyle w:val="Hyperlink"/>
          <w:color w:val="auto"/>
          <w:u w:val="none"/>
        </w:rPr>
      </w:pPr>
    </w:p>
    <w:p w14:paraId="6B8510DE" w14:textId="5F12C4D3" w:rsidR="00B46C58" w:rsidRDefault="00B46C58" w:rsidP="00660132">
      <w:pPr>
        <w:spacing w:line="360" w:lineRule="auto"/>
        <w:ind w:left="0" w:right="1693"/>
        <w:rPr>
          <w:rStyle w:val="Hyperlink"/>
          <w:color w:val="auto"/>
          <w:u w:val="none"/>
        </w:rPr>
      </w:pPr>
      <w:r w:rsidRPr="00B46C58">
        <w:rPr>
          <w:rStyle w:val="Hyperlink"/>
          <w:color w:val="auto"/>
          <w:u w:val="none"/>
        </w:rPr>
        <w:t xml:space="preserve">Weil das Thema Service immer wichtiger wird, hat TGW die Zahl seiner Mitarbeiter im Kundendienst </w:t>
      </w:r>
      <w:r w:rsidR="00A06F41" w:rsidRPr="00B46C58">
        <w:rPr>
          <w:rStyle w:val="Hyperlink"/>
          <w:color w:val="auto"/>
          <w:u w:val="none"/>
        </w:rPr>
        <w:t xml:space="preserve">seit 2015 </w:t>
      </w:r>
      <w:r w:rsidRPr="00B46C58">
        <w:rPr>
          <w:rStyle w:val="Hyperlink"/>
          <w:color w:val="auto"/>
          <w:u w:val="none"/>
        </w:rPr>
        <w:t xml:space="preserve">mehr als verdoppelt. </w:t>
      </w:r>
      <w:r w:rsidR="00C00CE0">
        <w:rPr>
          <w:rStyle w:val="Hyperlink"/>
          <w:color w:val="auto"/>
          <w:u w:val="none"/>
        </w:rPr>
        <w:t>Das</w:t>
      </w:r>
      <w:r w:rsidRPr="00B46C58">
        <w:rPr>
          <w:rStyle w:val="Hyperlink"/>
          <w:color w:val="auto"/>
          <w:u w:val="none"/>
        </w:rPr>
        <w:t xml:space="preserve"> global aufgestellte Unternehmen bietet innovative Servicekonzepte an, die schon in einer frühen Phase der Zusammenarbeit </w:t>
      </w:r>
      <w:r w:rsidR="00BB5C8B">
        <w:rPr>
          <w:rStyle w:val="Hyperlink"/>
          <w:color w:val="auto"/>
          <w:u w:val="none"/>
        </w:rPr>
        <w:t xml:space="preserve">auch </w:t>
      </w:r>
      <w:r w:rsidRPr="00B46C58">
        <w:rPr>
          <w:rStyle w:val="Hyperlink"/>
          <w:color w:val="auto"/>
          <w:u w:val="none"/>
        </w:rPr>
        <w:t xml:space="preserve">dem Kunden vorgestellt werden. </w:t>
      </w:r>
      <w:r w:rsidR="005F7BE5">
        <w:rPr>
          <w:rStyle w:val="Hyperlink"/>
          <w:color w:val="auto"/>
          <w:u w:val="none"/>
        </w:rPr>
        <w:t xml:space="preserve">Gemeinsam wird dann ein individuelles Paket geschnürt. </w:t>
      </w:r>
      <w:r w:rsidRPr="00B46C58">
        <w:rPr>
          <w:rStyle w:val="Hyperlink"/>
          <w:color w:val="auto"/>
          <w:u w:val="none"/>
        </w:rPr>
        <w:t xml:space="preserve">„Die Gesamtkostenbetrachtung über den Lebenszyklus einer Anlage gewinnt immer mehr an Bedeutung </w:t>
      </w:r>
      <w:r w:rsidR="005F7BE5">
        <w:rPr>
          <w:rStyle w:val="Hyperlink"/>
          <w:color w:val="auto"/>
          <w:u w:val="none"/>
        </w:rPr>
        <w:t>– und damit die</w:t>
      </w:r>
      <w:r w:rsidRPr="00B46C58">
        <w:rPr>
          <w:rStyle w:val="Hyperlink"/>
          <w:color w:val="auto"/>
          <w:u w:val="none"/>
        </w:rPr>
        <w:t xml:space="preserve"> Total Cost of Ownership. Diese gilt es gemeinsam </w:t>
      </w:r>
      <w:r w:rsidR="003E19CC">
        <w:rPr>
          <w:rStyle w:val="Hyperlink"/>
          <w:color w:val="auto"/>
          <w:u w:val="none"/>
        </w:rPr>
        <w:t xml:space="preserve">und partnerschaftlich </w:t>
      </w:r>
      <w:bookmarkStart w:id="0" w:name="_GoBack"/>
      <w:bookmarkEnd w:id="0"/>
      <w:r w:rsidRPr="00B46C58">
        <w:rPr>
          <w:rStyle w:val="Hyperlink"/>
          <w:color w:val="auto"/>
          <w:u w:val="none"/>
        </w:rPr>
        <w:t>zu optimieren“, sagt Knogler.</w:t>
      </w:r>
    </w:p>
    <w:p w14:paraId="15215938" w14:textId="77777777" w:rsidR="00475D53" w:rsidRPr="00475D53" w:rsidRDefault="00475D53" w:rsidP="00660132">
      <w:pPr>
        <w:spacing w:line="360" w:lineRule="auto"/>
        <w:ind w:left="0" w:right="1693"/>
        <w:rPr>
          <w:rStyle w:val="Hyperlink"/>
          <w:color w:val="auto"/>
          <w:u w:val="none"/>
        </w:rPr>
      </w:pPr>
    </w:p>
    <w:p w14:paraId="4F6D7B3F" w14:textId="361E03D8" w:rsidR="00BA3D94" w:rsidRPr="00BA3D94" w:rsidRDefault="00BA3D94" w:rsidP="00660132">
      <w:pPr>
        <w:spacing w:line="240" w:lineRule="auto"/>
        <w:ind w:left="0" w:right="1693"/>
        <w:rPr>
          <w:rStyle w:val="Hyperlink"/>
          <w:b/>
          <w:color w:val="auto"/>
        </w:rPr>
      </w:pPr>
      <w:r w:rsidRPr="00BA3D94">
        <w:rPr>
          <w:rStyle w:val="Hyperlink"/>
          <w:b/>
          <w:color w:val="auto"/>
        </w:rPr>
        <w:t>Die 10 Erfolgsfaktoren auf einen Blick</w:t>
      </w:r>
    </w:p>
    <w:p w14:paraId="04969BB7" w14:textId="2D2FE58B" w:rsidR="00BA3D94" w:rsidRDefault="00BA3D94" w:rsidP="00660132">
      <w:pPr>
        <w:spacing w:line="240" w:lineRule="auto"/>
        <w:ind w:left="0" w:right="1693"/>
        <w:rPr>
          <w:rStyle w:val="Hyperlink"/>
          <w:b/>
          <w:color w:val="auto"/>
          <w:u w:val="none"/>
        </w:rPr>
      </w:pPr>
      <w:r w:rsidRPr="00B46C58">
        <w:rPr>
          <w:rStyle w:val="Hyperlink"/>
          <w:b/>
          <w:color w:val="auto"/>
          <w:u w:val="none"/>
        </w:rPr>
        <w:t>1. Experten früh einbinden</w:t>
      </w:r>
    </w:p>
    <w:p w14:paraId="3550B237" w14:textId="6263E408" w:rsidR="00BA3D94" w:rsidRDefault="00BA3D94" w:rsidP="00660132">
      <w:pPr>
        <w:spacing w:line="240" w:lineRule="auto"/>
        <w:ind w:left="0" w:right="1693"/>
        <w:rPr>
          <w:rStyle w:val="Hyperlink"/>
          <w:b/>
          <w:color w:val="auto"/>
          <w:u w:val="none"/>
        </w:rPr>
      </w:pPr>
      <w:r w:rsidRPr="00B46C58">
        <w:rPr>
          <w:rStyle w:val="Hyperlink"/>
          <w:b/>
          <w:color w:val="auto"/>
          <w:u w:val="none"/>
        </w:rPr>
        <w:t>2. Passende Wartungsstrategie erarbeiten</w:t>
      </w:r>
    </w:p>
    <w:p w14:paraId="5052981C" w14:textId="0581DF65" w:rsidR="00BA3D94" w:rsidRDefault="00BA3D94" w:rsidP="00660132">
      <w:pPr>
        <w:spacing w:line="240" w:lineRule="auto"/>
        <w:ind w:left="0" w:right="1693"/>
        <w:rPr>
          <w:rStyle w:val="Hyperlink"/>
          <w:b/>
          <w:color w:val="auto"/>
          <w:u w:val="none"/>
        </w:rPr>
      </w:pPr>
      <w:r w:rsidRPr="00B46C58">
        <w:rPr>
          <w:rStyle w:val="Hyperlink"/>
          <w:b/>
          <w:color w:val="auto"/>
          <w:u w:val="none"/>
        </w:rPr>
        <w:t>3. Transparenz schaffen</w:t>
      </w:r>
    </w:p>
    <w:p w14:paraId="4B55D431" w14:textId="6353160D" w:rsidR="00BA3D94" w:rsidRDefault="00BA3D94" w:rsidP="00660132">
      <w:pPr>
        <w:spacing w:line="240" w:lineRule="auto"/>
        <w:ind w:left="0" w:right="1693"/>
        <w:rPr>
          <w:rStyle w:val="Hyperlink"/>
          <w:b/>
          <w:color w:val="auto"/>
          <w:u w:val="none"/>
        </w:rPr>
      </w:pPr>
      <w:r w:rsidRPr="00B46C58">
        <w:rPr>
          <w:rStyle w:val="Hyperlink"/>
          <w:b/>
          <w:color w:val="auto"/>
          <w:u w:val="none"/>
        </w:rPr>
        <w:t>4. Kosten planbar machen</w:t>
      </w:r>
    </w:p>
    <w:p w14:paraId="233808C4" w14:textId="630F76F2" w:rsidR="00BA3D94" w:rsidRDefault="00BA3D94" w:rsidP="00660132">
      <w:pPr>
        <w:spacing w:line="240" w:lineRule="auto"/>
        <w:ind w:left="0" w:right="1693"/>
        <w:rPr>
          <w:rStyle w:val="Hyperlink"/>
          <w:b/>
          <w:color w:val="auto"/>
          <w:u w:val="none"/>
        </w:rPr>
      </w:pPr>
      <w:r w:rsidRPr="00B46C58">
        <w:rPr>
          <w:rStyle w:val="Hyperlink"/>
          <w:b/>
          <w:color w:val="auto"/>
          <w:u w:val="none"/>
        </w:rPr>
        <w:t>5. Win-Win-Situation erarbeiten</w:t>
      </w:r>
    </w:p>
    <w:p w14:paraId="59218F8A" w14:textId="31389741" w:rsidR="00BA3D94" w:rsidRDefault="00BA3D94" w:rsidP="00660132">
      <w:pPr>
        <w:spacing w:line="240" w:lineRule="auto"/>
        <w:ind w:left="0" w:right="1693"/>
        <w:rPr>
          <w:rStyle w:val="Hyperlink"/>
          <w:b/>
          <w:color w:val="auto"/>
          <w:u w:val="none"/>
        </w:rPr>
      </w:pPr>
      <w:r w:rsidRPr="00B46C58">
        <w:rPr>
          <w:rStyle w:val="Hyperlink"/>
          <w:b/>
          <w:color w:val="auto"/>
          <w:u w:val="none"/>
        </w:rPr>
        <w:t>6. Verständnis und Verantwortung schaffen</w:t>
      </w:r>
    </w:p>
    <w:p w14:paraId="1D88B39C" w14:textId="093AD636" w:rsidR="00BA3D94" w:rsidRDefault="00BA3D94" w:rsidP="00660132">
      <w:pPr>
        <w:spacing w:line="240" w:lineRule="auto"/>
        <w:ind w:left="0" w:right="1693"/>
        <w:rPr>
          <w:rStyle w:val="Hyperlink"/>
          <w:b/>
          <w:color w:val="auto"/>
          <w:u w:val="none"/>
        </w:rPr>
      </w:pPr>
      <w:r w:rsidRPr="00B46C58">
        <w:rPr>
          <w:rStyle w:val="Hyperlink"/>
          <w:b/>
          <w:color w:val="auto"/>
          <w:u w:val="none"/>
        </w:rPr>
        <w:t>7. Technologie effektiv nutzen</w:t>
      </w:r>
    </w:p>
    <w:p w14:paraId="42B4A58E" w14:textId="5C502225" w:rsidR="00BA3D94" w:rsidRDefault="00BA3D94" w:rsidP="00660132">
      <w:pPr>
        <w:spacing w:line="240" w:lineRule="auto"/>
        <w:ind w:left="0" w:right="1693"/>
        <w:rPr>
          <w:rStyle w:val="Hyperlink"/>
          <w:b/>
          <w:color w:val="auto"/>
          <w:u w:val="none"/>
        </w:rPr>
      </w:pPr>
      <w:r w:rsidRPr="00B46C58">
        <w:rPr>
          <w:rStyle w:val="Hyperlink"/>
          <w:b/>
          <w:color w:val="auto"/>
          <w:u w:val="none"/>
        </w:rPr>
        <w:t>8. Daten zur kontinuierlichen Verbesserung analysieren</w:t>
      </w:r>
    </w:p>
    <w:p w14:paraId="1D5AB292" w14:textId="625B1C0E" w:rsidR="00BA3D94" w:rsidRDefault="00BA3D94" w:rsidP="00660132">
      <w:pPr>
        <w:spacing w:line="240" w:lineRule="auto"/>
        <w:ind w:left="0" w:right="1693"/>
        <w:rPr>
          <w:rStyle w:val="Hyperlink"/>
          <w:b/>
          <w:color w:val="auto"/>
          <w:u w:val="none"/>
        </w:rPr>
      </w:pPr>
      <w:r w:rsidRPr="00B46C58">
        <w:rPr>
          <w:rStyle w:val="Hyperlink"/>
          <w:b/>
          <w:color w:val="auto"/>
          <w:u w:val="none"/>
        </w:rPr>
        <w:t>9. Überraschungen proaktiv vermeiden</w:t>
      </w:r>
    </w:p>
    <w:p w14:paraId="7E84283D" w14:textId="354CE788" w:rsidR="00BA3D94" w:rsidRDefault="00BA3D94" w:rsidP="00660132">
      <w:pPr>
        <w:spacing w:line="240" w:lineRule="auto"/>
        <w:ind w:left="0" w:right="1693"/>
        <w:rPr>
          <w:rStyle w:val="Hyperlink"/>
          <w:b/>
          <w:color w:val="auto"/>
          <w:u w:val="none"/>
        </w:rPr>
      </w:pPr>
      <w:r w:rsidRPr="00B46C58">
        <w:rPr>
          <w:rStyle w:val="Hyperlink"/>
          <w:b/>
          <w:color w:val="auto"/>
          <w:u w:val="none"/>
        </w:rPr>
        <w:t>10. Laufende Weiterentwicklung heißt Retrofit</w:t>
      </w:r>
    </w:p>
    <w:p w14:paraId="6E3EA4E4" w14:textId="18F34255" w:rsidR="00B46C58" w:rsidRDefault="00B46C58" w:rsidP="00660132">
      <w:pPr>
        <w:spacing w:line="360" w:lineRule="auto"/>
        <w:ind w:left="0" w:right="1693"/>
        <w:rPr>
          <w:rStyle w:val="Hyperlink"/>
          <w:b/>
          <w:color w:val="auto"/>
        </w:rPr>
      </w:pPr>
      <w:r w:rsidRPr="00BA3D94">
        <w:rPr>
          <w:rStyle w:val="Hyperlink"/>
          <w:b/>
          <w:color w:val="auto"/>
        </w:rPr>
        <w:lastRenderedPageBreak/>
        <w:t xml:space="preserve">Die </w:t>
      </w:r>
      <w:r w:rsidR="00C00CE0" w:rsidRPr="00BA3D94">
        <w:rPr>
          <w:rStyle w:val="Hyperlink"/>
          <w:b/>
          <w:color w:val="auto"/>
        </w:rPr>
        <w:t xml:space="preserve">10 </w:t>
      </w:r>
      <w:r w:rsidRPr="00BA3D94">
        <w:rPr>
          <w:rStyle w:val="Hyperlink"/>
          <w:b/>
          <w:color w:val="auto"/>
        </w:rPr>
        <w:t>Erfolgsfaktoren im Detail</w:t>
      </w:r>
    </w:p>
    <w:p w14:paraId="4719592D" w14:textId="77777777" w:rsidR="00EA536A" w:rsidRPr="00BA3D94" w:rsidRDefault="00EA536A" w:rsidP="00660132">
      <w:pPr>
        <w:spacing w:line="360" w:lineRule="auto"/>
        <w:ind w:left="0" w:right="1693"/>
        <w:rPr>
          <w:rStyle w:val="Hyperlink"/>
          <w:b/>
          <w:color w:val="auto"/>
        </w:rPr>
      </w:pPr>
    </w:p>
    <w:p w14:paraId="7448C060" w14:textId="4C331C11"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 xml:space="preserve">1. </w:t>
      </w:r>
      <w:r w:rsidR="00DA12FF">
        <w:rPr>
          <w:rStyle w:val="Hyperlink"/>
          <w:b/>
          <w:color w:val="auto"/>
          <w:u w:val="none"/>
        </w:rPr>
        <w:t xml:space="preserve"> </w:t>
      </w:r>
      <w:r w:rsidRPr="00B46C58">
        <w:rPr>
          <w:rStyle w:val="Hyperlink"/>
          <w:b/>
          <w:color w:val="auto"/>
          <w:u w:val="none"/>
        </w:rPr>
        <w:t>Experten früh einbinden:</w:t>
      </w:r>
      <w:r w:rsidRPr="00B46C58">
        <w:rPr>
          <w:rStyle w:val="Hyperlink"/>
          <w:color w:val="auto"/>
          <w:u w:val="none"/>
        </w:rPr>
        <w:t xml:space="preserve"> Das Betriebs- und Wartungskonzept sowie die damit </w:t>
      </w:r>
      <w:r w:rsidR="00092354">
        <w:rPr>
          <w:rStyle w:val="Hyperlink"/>
          <w:color w:val="auto"/>
          <w:u w:val="none"/>
        </w:rPr>
        <w:t xml:space="preserve">verbundenen </w:t>
      </w:r>
      <w:r w:rsidRPr="00B46C58">
        <w:rPr>
          <w:rStyle w:val="Hyperlink"/>
          <w:color w:val="auto"/>
          <w:u w:val="none"/>
        </w:rPr>
        <w:t xml:space="preserve">Kosten sollten von Projektbeginn an bewertet und berücksichtigt werden. Die frühe Einbindung erfahrener Fachleute auf Seiten aller </w:t>
      </w:r>
      <w:r w:rsidR="00092354">
        <w:rPr>
          <w:rStyle w:val="Hyperlink"/>
          <w:color w:val="auto"/>
          <w:u w:val="none"/>
        </w:rPr>
        <w:t>P</w:t>
      </w:r>
      <w:r w:rsidR="00092354" w:rsidRPr="00B46C58">
        <w:rPr>
          <w:rStyle w:val="Hyperlink"/>
          <w:color w:val="auto"/>
          <w:u w:val="none"/>
        </w:rPr>
        <w:t>artner</w:t>
      </w:r>
      <w:r w:rsidR="00092354">
        <w:rPr>
          <w:rStyle w:val="Hyperlink"/>
          <w:color w:val="auto"/>
          <w:u w:val="none"/>
        </w:rPr>
        <w:t xml:space="preserve"> (</w:t>
      </w:r>
      <w:r w:rsidR="00C175D3">
        <w:rPr>
          <w:rStyle w:val="Hyperlink"/>
          <w:color w:val="auto"/>
          <w:u w:val="none"/>
        </w:rPr>
        <w:t>Auftraggeber, potenz</w:t>
      </w:r>
      <w:r w:rsidRPr="00B46C58">
        <w:rPr>
          <w:rStyle w:val="Hyperlink"/>
          <w:color w:val="auto"/>
          <w:u w:val="none"/>
        </w:rPr>
        <w:t>ieller Auftragnehmer und Berater</w:t>
      </w:r>
      <w:r w:rsidR="00092354">
        <w:rPr>
          <w:rStyle w:val="Hyperlink"/>
          <w:color w:val="auto"/>
          <w:u w:val="none"/>
        </w:rPr>
        <w:t>)</w:t>
      </w:r>
      <w:r w:rsidRPr="00B46C58">
        <w:rPr>
          <w:rStyle w:val="Hyperlink"/>
          <w:color w:val="auto"/>
          <w:u w:val="none"/>
        </w:rPr>
        <w:t xml:space="preserve"> ermöglicht die Bewertung unterschiedlicher Systemlösungen nach </w:t>
      </w:r>
      <w:r w:rsidR="007379F1">
        <w:rPr>
          <w:rStyle w:val="Hyperlink"/>
          <w:color w:val="auto"/>
          <w:u w:val="none"/>
        </w:rPr>
        <w:t>dem</w:t>
      </w:r>
      <w:r w:rsidR="007379F1" w:rsidRPr="00B46C58">
        <w:rPr>
          <w:rStyle w:val="Hyperlink"/>
          <w:color w:val="auto"/>
          <w:u w:val="none"/>
        </w:rPr>
        <w:t xml:space="preserve"> </w:t>
      </w:r>
      <w:r w:rsidRPr="00B46C58">
        <w:rPr>
          <w:rStyle w:val="Hyperlink"/>
          <w:color w:val="auto"/>
          <w:u w:val="none"/>
        </w:rPr>
        <w:t xml:space="preserve">operativen </w:t>
      </w:r>
      <w:r w:rsidR="007379F1" w:rsidRPr="00B46C58">
        <w:rPr>
          <w:rStyle w:val="Hyperlink"/>
          <w:color w:val="auto"/>
          <w:u w:val="none"/>
        </w:rPr>
        <w:t>Betreuungsaufw</w:t>
      </w:r>
      <w:r w:rsidR="007379F1">
        <w:rPr>
          <w:rStyle w:val="Hyperlink"/>
          <w:color w:val="auto"/>
          <w:u w:val="none"/>
        </w:rPr>
        <w:t>and</w:t>
      </w:r>
      <w:r w:rsidRPr="00B46C58">
        <w:rPr>
          <w:rStyle w:val="Hyperlink"/>
          <w:color w:val="auto"/>
          <w:u w:val="none"/>
        </w:rPr>
        <w:t xml:space="preserve">. </w:t>
      </w:r>
    </w:p>
    <w:p w14:paraId="26092554" w14:textId="77777777" w:rsidR="00B46C58" w:rsidRPr="00B46C58" w:rsidRDefault="00B46C58" w:rsidP="00660132">
      <w:pPr>
        <w:spacing w:line="360" w:lineRule="auto"/>
        <w:ind w:left="0" w:right="1693"/>
        <w:rPr>
          <w:rStyle w:val="Hyperlink"/>
          <w:color w:val="auto"/>
          <w:u w:val="none"/>
        </w:rPr>
      </w:pPr>
    </w:p>
    <w:p w14:paraId="47E9C422" w14:textId="7BC2654F"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2. Passende Wartungsstrategie erarbeiten:</w:t>
      </w:r>
      <w:r w:rsidRPr="00B46C58">
        <w:rPr>
          <w:rStyle w:val="Hyperlink"/>
          <w:color w:val="auto"/>
          <w:u w:val="none"/>
        </w:rPr>
        <w:t xml:space="preserve"> Wer stellt die Verfügbarkeit der Intralogistiklösung sicher? Diese zentrale Frage sollte ebenfalls</w:t>
      </w:r>
      <w:r w:rsidR="00416095">
        <w:rPr>
          <w:rStyle w:val="Hyperlink"/>
          <w:color w:val="auto"/>
          <w:u w:val="none"/>
        </w:rPr>
        <w:t xml:space="preserve"> bereits</w:t>
      </w:r>
      <w:r w:rsidRPr="00B46C58">
        <w:rPr>
          <w:rStyle w:val="Hyperlink"/>
          <w:color w:val="auto"/>
          <w:u w:val="none"/>
        </w:rPr>
        <w:t xml:space="preserve"> in einer frühen Projektphase gestellt und</w:t>
      </w:r>
      <w:r w:rsidR="00092354">
        <w:rPr>
          <w:rStyle w:val="Hyperlink"/>
          <w:color w:val="auto"/>
          <w:u w:val="none"/>
        </w:rPr>
        <w:t xml:space="preserve"> </w:t>
      </w:r>
      <w:r w:rsidRPr="00B46C58">
        <w:rPr>
          <w:rStyle w:val="Hyperlink"/>
          <w:color w:val="auto"/>
          <w:u w:val="none"/>
        </w:rPr>
        <w:t xml:space="preserve">beantwortet werden. In vielen Fällen </w:t>
      </w:r>
      <w:r w:rsidR="00416095">
        <w:rPr>
          <w:rStyle w:val="Hyperlink"/>
          <w:color w:val="auto"/>
          <w:u w:val="none"/>
        </w:rPr>
        <w:t>entscheidet</w:t>
      </w:r>
      <w:r w:rsidRPr="00B46C58">
        <w:rPr>
          <w:rStyle w:val="Hyperlink"/>
          <w:color w:val="auto"/>
          <w:u w:val="none"/>
        </w:rPr>
        <w:t xml:space="preserve"> die Unternehmensstrategie des Auftraggebers, ob er die Verantwortung für die operative Wartung selbst in die Hand nimmt oder an Partner übergibt. Die Tendenz </w:t>
      </w:r>
      <w:r w:rsidR="00C00CE0">
        <w:rPr>
          <w:rStyle w:val="Hyperlink"/>
          <w:color w:val="auto"/>
          <w:u w:val="none"/>
        </w:rPr>
        <w:t>geht</w:t>
      </w:r>
      <w:r w:rsidRPr="00B46C58">
        <w:rPr>
          <w:rStyle w:val="Hyperlink"/>
          <w:color w:val="auto"/>
          <w:u w:val="none"/>
        </w:rPr>
        <w:t xml:space="preserve"> in die Richtung, sich als Auftraggeber auf </w:t>
      </w:r>
      <w:r w:rsidR="003238A9">
        <w:rPr>
          <w:rStyle w:val="Hyperlink"/>
          <w:color w:val="auto"/>
          <w:u w:val="none"/>
        </w:rPr>
        <w:t>seine</w:t>
      </w:r>
      <w:r w:rsidR="003238A9" w:rsidRPr="00B46C58">
        <w:rPr>
          <w:rStyle w:val="Hyperlink"/>
          <w:color w:val="auto"/>
          <w:u w:val="none"/>
        </w:rPr>
        <w:t xml:space="preserve"> </w:t>
      </w:r>
      <w:r w:rsidRPr="00B46C58">
        <w:rPr>
          <w:rStyle w:val="Hyperlink"/>
          <w:color w:val="auto"/>
          <w:u w:val="none"/>
        </w:rPr>
        <w:t xml:space="preserve">Kernkompetenzen zu fokussieren und die </w:t>
      </w:r>
      <w:r w:rsidR="003238A9">
        <w:rPr>
          <w:rStyle w:val="Hyperlink"/>
          <w:color w:val="auto"/>
          <w:u w:val="none"/>
        </w:rPr>
        <w:t>Anlagenbetreuung</w:t>
      </w:r>
      <w:r w:rsidRPr="00B46C58">
        <w:rPr>
          <w:rStyle w:val="Hyperlink"/>
          <w:color w:val="auto"/>
          <w:u w:val="none"/>
        </w:rPr>
        <w:t xml:space="preserve"> in die Hände des </w:t>
      </w:r>
      <w:r w:rsidR="004C74E5">
        <w:rPr>
          <w:rStyle w:val="Hyperlink"/>
          <w:color w:val="auto"/>
          <w:u w:val="none"/>
        </w:rPr>
        <w:t>Intralogistik-Spezialisten</w:t>
      </w:r>
      <w:r w:rsidRPr="00B46C58">
        <w:rPr>
          <w:rStyle w:val="Hyperlink"/>
          <w:color w:val="auto"/>
          <w:u w:val="none"/>
        </w:rPr>
        <w:t xml:space="preserve"> zu </w:t>
      </w:r>
      <w:r w:rsidR="00092354">
        <w:rPr>
          <w:rStyle w:val="Hyperlink"/>
          <w:color w:val="auto"/>
          <w:u w:val="none"/>
        </w:rPr>
        <w:t>legen</w:t>
      </w:r>
      <w:r w:rsidRPr="00B46C58">
        <w:rPr>
          <w:rStyle w:val="Hyperlink"/>
          <w:color w:val="auto"/>
          <w:u w:val="none"/>
        </w:rPr>
        <w:t xml:space="preserve">. </w:t>
      </w:r>
    </w:p>
    <w:p w14:paraId="6E16242A" w14:textId="77777777" w:rsidR="00B46C58" w:rsidRPr="00B46C58" w:rsidRDefault="00B46C58" w:rsidP="00660132">
      <w:pPr>
        <w:spacing w:line="360" w:lineRule="auto"/>
        <w:ind w:left="0" w:right="1693"/>
        <w:rPr>
          <w:rStyle w:val="Hyperlink"/>
          <w:color w:val="auto"/>
          <w:u w:val="none"/>
        </w:rPr>
      </w:pPr>
    </w:p>
    <w:p w14:paraId="62765AF6" w14:textId="3035B524"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3. Transparenz schaffen:</w:t>
      </w:r>
      <w:r w:rsidRPr="00B46C58">
        <w:rPr>
          <w:rStyle w:val="Hyperlink"/>
          <w:color w:val="auto"/>
          <w:u w:val="none"/>
        </w:rPr>
        <w:t xml:space="preserve"> Spätestens nachdem die Anlagen</w:t>
      </w:r>
      <w:r w:rsidR="00F94D68">
        <w:rPr>
          <w:rStyle w:val="Hyperlink"/>
          <w:color w:val="auto"/>
          <w:u w:val="none"/>
        </w:rPr>
        <w:t>-Service</w:t>
      </w:r>
      <w:r w:rsidRPr="00B46C58">
        <w:rPr>
          <w:rStyle w:val="Hyperlink"/>
          <w:color w:val="auto"/>
          <w:u w:val="none"/>
        </w:rPr>
        <w:t>partner definiert wurden, sollten Service Level Agreements (SLAs) und so</w:t>
      </w:r>
      <w:r w:rsidR="003238A9">
        <w:rPr>
          <w:rStyle w:val="Hyperlink"/>
          <w:color w:val="auto"/>
          <w:u w:val="none"/>
        </w:rPr>
        <w:t xml:space="preserve"> </w:t>
      </w:r>
      <w:r w:rsidRPr="00B46C58">
        <w:rPr>
          <w:rStyle w:val="Hyperlink"/>
          <w:color w:val="auto"/>
          <w:u w:val="none"/>
        </w:rPr>
        <w:t xml:space="preserve">genannte RACI-Definitionen (Responsible, Accountable, Consulted, Informed) in einer Verantwortungsmatrix festgelegt werden. Die SLAs beschreiben die Erwartungshaltung in puncto Umfang der Störungsbearbeitung und beinhalten die vereinbarten Reaktionszeiten. Die RACI-Matrix </w:t>
      </w:r>
      <w:r w:rsidR="003238A9">
        <w:rPr>
          <w:rStyle w:val="Hyperlink"/>
          <w:color w:val="auto"/>
          <w:u w:val="none"/>
        </w:rPr>
        <w:t>legt fest</w:t>
      </w:r>
      <w:r w:rsidRPr="00B46C58">
        <w:rPr>
          <w:rStyle w:val="Hyperlink"/>
          <w:color w:val="auto"/>
          <w:u w:val="none"/>
        </w:rPr>
        <w:t>, wer für welche Tätigkeit verantwortlich ist.</w:t>
      </w:r>
    </w:p>
    <w:p w14:paraId="718C8B5F" w14:textId="77777777" w:rsidR="00B46C58" w:rsidRPr="00B46C58" w:rsidRDefault="00B46C58" w:rsidP="00660132">
      <w:pPr>
        <w:spacing w:line="360" w:lineRule="auto"/>
        <w:ind w:left="0" w:right="1693"/>
        <w:rPr>
          <w:rStyle w:val="Hyperlink"/>
          <w:color w:val="auto"/>
          <w:u w:val="none"/>
        </w:rPr>
      </w:pPr>
    </w:p>
    <w:p w14:paraId="37CBACF4" w14:textId="4C637326"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4. Kosten planbar machen:</w:t>
      </w:r>
      <w:r w:rsidRPr="00B46C58">
        <w:rPr>
          <w:rStyle w:val="Hyperlink"/>
          <w:color w:val="auto"/>
          <w:u w:val="none"/>
        </w:rPr>
        <w:t xml:space="preserve"> Während es unmöglich ist, sich gegenüber sämtlichen Eventualitäten abzusichern, ermöglichen so</w:t>
      </w:r>
      <w:r w:rsidR="00DA12FF">
        <w:rPr>
          <w:rStyle w:val="Hyperlink"/>
          <w:color w:val="auto"/>
          <w:u w:val="none"/>
        </w:rPr>
        <w:t xml:space="preserve"> </w:t>
      </w:r>
      <w:r w:rsidRPr="00B46C58">
        <w:rPr>
          <w:rStyle w:val="Hyperlink"/>
          <w:color w:val="auto"/>
          <w:u w:val="none"/>
        </w:rPr>
        <w:t xml:space="preserve">genannte Full-Service-Pakete </w:t>
      </w:r>
      <w:r w:rsidR="00092354">
        <w:rPr>
          <w:rStyle w:val="Hyperlink"/>
          <w:color w:val="auto"/>
          <w:u w:val="none"/>
        </w:rPr>
        <w:t>das Festlegen</w:t>
      </w:r>
      <w:r w:rsidR="00092354" w:rsidRPr="00B46C58">
        <w:rPr>
          <w:rStyle w:val="Hyperlink"/>
          <w:color w:val="auto"/>
          <w:u w:val="none"/>
        </w:rPr>
        <w:t xml:space="preserve"> </w:t>
      </w:r>
      <w:r w:rsidRPr="00B46C58">
        <w:rPr>
          <w:rStyle w:val="Hyperlink"/>
          <w:color w:val="auto"/>
          <w:u w:val="none"/>
        </w:rPr>
        <w:t xml:space="preserve">der Service-Ausgaben über einen bestimmten Zeitraum. Die Zusammenstellung dieser Pakete sollte im Sinne der Projektpartner </w:t>
      </w:r>
      <w:r w:rsidR="00092354">
        <w:rPr>
          <w:rStyle w:val="Hyperlink"/>
          <w:color w:val="auto"/>
          <w:u w:val="none"/>
        </w:rPr>
        <w:t>erfolgen</w:t>
      </w:r>
      <w:r w:rsidRPr="00B46C58">
        <w:rPr>
          <w:rStyle w:val="Hyperlink"/>
          <w:color w:val="auto"/>
          <w:u w:val="none"/>
        </w:rPr>
        <w:t xml:space="preserve"> und kann unter anderem Ersatzteilverbrauch, </w:t>
      </w:r>
      <w:r w:rsidR="00DD6BC9">
        <w:rPr>
          <w:rStyle w:val="Hyperlink"/>
          <w:color w:val="auto"/>
          <w:u w:val="none"/>
        </w:rPr>
        <w:t>D</w:t>
      </w:r>
      <w:r w:rsidRPr="00B46C58">
        <w:rPr>
          <w:rStyle w:val="Hyperlink"/>
          <w:color w:val="auto"/>
          <w:u w:val="none"/>
        </w:rPr>
        <w:t>ienstleistung</w:t>
      </w:r>
      <w:r w:rsidR="00092354">
        <w:rPr>
          <w:rStyle w:val="Hyperlink"/>
          <w:color w:val="auto"/>
          <w:u w:val="none"/>
        </w:rPr>
        <w:t>en</w:t>
      </w:r>
      <w:r w:rsidRPr="00B46C58">
        <w:rPr>
          <w:rStyle w:val="Hyperlink"/>
          <w:color w:val="auto"/>
          <w:u w:val="none"/>
        </w:rPr>
        <w:t xml:space="preserve"> und Remote Services beinhalten. Grundprinzip </w:t>
      </w:r>
      <w:r w:rsidR="00092354">
        <w:rPr>
          <w:rStyle w:val="Hyperlink"/>
          <w:color w:val="auto"/>
          <w:u w:val="none"/>
        </w:rPr>
        <w:t>ist</w:t>
      </w:r>
      <w:r w:rsidR="00092354" w:rsidRPr="00B46C58">
        <w:rPr>
          <w:rStyle w:val="Hyperlink"/>
          <w:color w:val="auto"/>
          <w:u w:val="none"/>
        </w:rPr>
        <w:t xml:space="preserve"> </w:t>
      </w:r>
      <w:r w:rsidRPr="00B46C58">
        <w:rPr>
          <w:rStyle w:val="Hyperlink"/>
          <w:color w:val="auto"/>
          <w:u w:val="none"/>
        </w:rPr>
        <w:t>die klare Definition der zu erbringenden Dienstleistung. Der Servicepartner ist im Fall der Fälle verpflichtet, diese mit der Serviceorganisation sicherzustellen.</w:t>
      </w:r>
    </w:p>
    <w:p w14:paraId="1BB6E6C8" w14:textId="77777777" w:rsidR="00B46C58" w:rsidRPr="00B46C58" w:rsidRDefault="00B46C58" w:rsidP="00660132">
      <w:pPr>
        <w:spacing w:line="360" w:lineRule="auto"/>
        <w:ind w:left="0" w:right="1693"/>
        <w:rPr>
          <w:rStyle w:val="Hyperlink"/>
          <w:color w:val="auto"/>
          <w:u w:val="none"/>
        </w:rPr>
      </w:pPr>
    </w:p>
    <w:p w14:paraId="52C04DD6" w14:textId="48018AE5"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5. Win-Win-Situation erarbeiten:</w:t>
      </w:r>
      <w:r w:rsidRPr="00B46C58">
        <w:rPr>
          <w:rStyle w:val="Hyperlink"/>
          <w:color w:val="auto"/>
          <w:u w:val="none"/>
        </w:rPr>
        <w:t xml:space="preserve"> Die Partnerschaft der Projektbeteiligten steht in einem enge</w:t>
      </w:r>
      <w:r>
        <w:rPr>
          <w:rStyle w:val="Hyperlink"/>
          <w:color w:val="auto"/>
          <w:u w:val="none"/>
        </w:rPr>
        <w:t>n</w:t>
      </w:r>
      <w:r w:rsidRPr="00B46C58">
        <w:rPr>
          <w:rStyle w:val="Hyperlink"/>
          <w:color w:val="auto"/>
          <w:u w:val="none"/>
        </w:rPr>
        <w:t xml:space="preserve"> Verhältnis mit der Verantwortung, die beide oder mehrere Parteien für den operativen Betrieb der Intralogistikanlage tragen. Wesentliche Elemente einer optimalen Zusammenarbeit sind die Pflege der Beziehung und der offene Umgang mit Problemstellungen. Gemeinsam</w:t>
      </w:r>
      <w:r w:rsidR="00BD0890">
        <w:rPr>
          <w:rStyle w:val="Hyperlink"/>
          <w:color w:val="auto"/>
          <w:u w:val="none"/>
        </w:rPr>
        <w:t>er Erfolg, aber auch gemeinsame Fe</w:t>
      </w:r>
      <w:r w:rsidR="006930D6">
        <w:rPr>
          <w:rStyle w:val="Hyperlink"/>
          <w:color w:val="auto"/>
          <w:u w:val="none"/>
        </w:rPr>
        <w:t>hl</w:t>
      </w:r>
      <w:r w:rsidR="00BD0890">
        <w:rPr>
          <w:rStyle w:val="Hyperlink"/>
          <w:color w:val="auto"/>
          <w:u w:val="none"/>
        </w:rPr>
        <w:t>schläge</w:t>
      </w:r>
      <w:r w:rsidRPr="00B46C58">
        <w:rPr>
          <w:rStyle w:val="Hyperlink"/>
          <w:color w:val="auto"/>
          <w:u w:val="none"/>
        </w:rPr>
        <w:t xml:space="preserve"> stoßen Verbesserungsmaßnahmen an, die </w:t>
      </w:r>
      <w:r w:rsidR="00EA536A">
        <w:rPr>
          <w:rStyle w:val="Hyperlink"/>
          <w:color w:val="auto"/>
          <w:u w:val="none"/>
        </w:rPr>
        <w:t>im Team</w:t>
      </w:r>
      <w:r w:rsidRPr="00B46C58">
        <w:rPr>
          <w:rStyle w:val="Hyperlink"/>
          <w:color w:val="auto"/>
          <w:u w:val="none"/>
        </w:rPr>
        <w:t xml:space="preserve"> erarbeitet und umgesetzt werden.</w:t>
      </w:r>
    </w:p>
    <w:p w14:paraId="3676FA03" w14:textId="77777777" w:rsidR="00B46C58" w:rsidRPr="00B46C58" w:rsidRDefault="00B46C58" w:rsidP="00660132">
      <w:pPr>
        <w:spacing w:line="360" w:lineRule="auto"/>
        <w:ind w:left="0" w:right="1693"/>
        <w:rPr>
          <w:rStyle w:val="Hyperlink"/>
          <w:color w:val="auto"/>
          <w:u w:val="none"/>
        </w:rPr>
      </w:pPr>
    </w:p>
    <w:p w14:paraId="0D6214D1" w14:textId="40AD3C2C" w:rsidR="00B46C58" w:rsidRPr="00B46C58" w:rsidRDefault="00B46C58" w:rsidP="00660132">
      <w:pPr>
        <w:spacing w:line="360" w:lineRule="auto"/>
        <w:ind w:left="0" w:right="1693"/>
        <w:rPr>
          <w:rStyle w:val="Hyperlink"/>
          <w:color w:val="auto"/>
          <w:u w:val="none"/>
        </w:rPr>
      </w:pPr>
      <w:r w:rsidRPr="00B46C58">
        <w:rPr>
          <w:rStyle w:val="Hyperlink"/>
          <w:b/>
          <w:color w:val="auto"/>
          <w:u w:val="none"/>
        </w:rPr>
        <w:lastRenderedPageBreak/>
        <w:t>6. Verständnis und Verantwortung schaffen:</w:t>
      </w:r>
      <w:r w:rsidRPr="00B46C58">
        <w:rPr>
          <w:rStyle w:val="Hyperlink"/>
          <w:color w:val="auto"/>
          <w:u w:val="none"/>
        </w:rPr>
        <w:t xml:space="preserve"> Entscheidend ist die Aufstellung der Betreuungsorganisation. Es gilt, klare Verantwortungen innerhalb des Teams zu definieren, Eskalationsstrategien festzulegen und diese regelmäßig auf das Thema Compliance </w:t>
      </w:r>
      <w:r w:rsidR="00FB29AE">
        <w:rPr>
          <w:rStyle w:val="Hyperlink"/>
          <w:color w:val="auto"/>
          <w:u w:val="none"/>
        </w:rPr>
        <w:t>zu prüfen</w:t>
      </w:r>
      <w:r w:rsidRPr="00B46C58">
        <w:rPr>
          <w:rStyle w:val="Hyperlink"/>
          <w:color w:val="auto"/>
          <w:u w:val="none"/>
        </w:rPr>
        <w:t>. Verantwortung beinhaltet auch die klar definierte Aufgabe, Verbesserungspotentiale zu erkennen und Projekte nach dem Handlu</w:t>
      </w:r>
      <w:r w:rsidR="00165EB0">
        <w:rPr>
          <w:rStyle w:val="Hyperlink"/>
          <w:color w:val="auto"/>
          <w:u w:val="none"/>
        </w:rPr>
        <w:t xml:space="preserve">ngsprinzip des kontinuierlichen </w:t>
      </w:r>
      <w:r w:rsidRPr="00B46C58">
        <w:rPr>
          <w:rStyle w:val="Hyperlink"/>
          <w:color w:val="auto"/>
          <w:u w:val="none"/>
        </w:rPr>
        <w:t>Verbesserungsprozesses (KVP) umzusetzen. Jedes einzelne Teammitglied sollte wissen, dass es die</w:t>
      </w:r>
      <w:r w:rsidR="003238A9">
        <w:rPr>
          <w:rStyle w:val="Hyperlink"/>
          <w:color w:val="auto"/>
          <w:u w:val="none"/>
        </w:rPr>
        <w:t xml:space="preserve"> gemeinsame</w:t>
      </w:r>
      <w:r w:rsidRPr="00B46C58">
        <w:rPr>
          <w:rStyle w:val="Hyperlink"/>
          <w:color w:val="auto"/>
          <w:u w:val="none"/>
        </w:rPr>
        <w:t xml:space="preserve"> Mission ist, die Anlage laufend weiterzuentwickeln und neuen Gegebenheiten anzupassen.</w:t>
      </w:r>
    </w:p>
    <w:p w14:paraId="06C55398" w14:textId="77777777" w:rsidR="00B46C58" w:rsidRPr="00B46C58" w:rsidRDefault="00B46C58" w:rsidP="00660132">
      <w:pPr>
        <w:spacing w:line="360" w:lineRule="auto"/>
        <w:ind w:left="0" w:right="1693"/>
        <w:rPr>
          <w:rStyle w:val="Hyperlink"/>
          <w:color w:val="auto"/>
          <w:u w:val="none"/>
        </w:rPr>
      </w:pPr>
    </w:p>
    <w:p w14:paraId="5B24B480" w14:textId="26D0E75B"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7. Technologie effektiv nutzen:</w:t>
      </w:r>
      <w:r w:rsidRPr="00B46C58">
        <w:rPr>
          <w:rStyle w:val="Hyperlink"/>
          <w:color w:val="auto"/>
          <w:u w:val="none"/>
        </w:rPr>
        <w:t xml:space="preserve"> Man kann aus Fehleranalysen und historischen Wartungsdaten wertvolle Erkenntnisse </w:t>
      </w:r>
      <w:r w:rsidR="00092354">
        <w:rPr>
          <w:rStyle w:val="Hyperlink"/>
          <w:color w:val="auto"/>
          <w:u w:val="none"/>
        </w:rPr>
        <w:t>für</w:t>
      </w:r>
      <w:r w:rsidRPr="00B46C58">
        <w:rPr>
          <w:rStyle w:val="Hyperlink"/>
          <w:color w:val="auto"/>
          <w:u w:val="none"/>
        </w:rPr>
        <w:t xml:space="preserve"> Verbesserung</w:t>
      </w:r>
      <w:r w:rsidR="003238A9">
        <w:rPr>
          <w:rStyle w:val="Hyperlink"/>
          <w:color w:val="auto"/>
          <w:u w:val="none"/>
        </w:rPr>
        <w:t xml:space="preserve">en </w:t>
      </w:r>
      <w:r w:rsidRPr="00B46C58">
        <w:rPr>
          <w:rStyle w:val="Hyperlink"/>
          <w:color w:val="auto"/>
          <w:u w:val="none"/>
        </w:rPr>
        <w:t xml:space="preserve">gewinnen. Dazu benötigt man jedoch die passenden Tools. Die Digitalisierung bietet </w:t>
      </w:r>
      <w:r w:rsidR="003F5554">
        <w:rPr>
          <w:rStyle w:val="Hyperlink"/>
          <w:color w:val="auto"/>
          <w:u w:val="none"/>
        </w:rPr>
        <w:t>hier</w:t>
      </w:r>
      <w:r w:rsidR="003F5554" w:rsidRPr="00B46C58">
        <w:rPr>
          <w:rStyle w:val="Hyperlink"/>
          <w:color w:val="auto"/>
          <w:u w:val="none"/>
        </w:rPr>
        <w:t xml:space="preserve"> </w:t>
      </w:r>
      <w:r w:rsidRPr="00B46C58">
        <w:rPr>
          <w:rStyle w:val="Hyperlink"/>
          <w:color w:val="auto"/>
          <w:u w:val="none"/>
        </w:rPr>
        <w:t xml:space="preserve">eine Vielzahl an Lösungen. Es gilt daher, die geeigneten Hilfsmittel zu identifizieren und diese zu </w:t>
      </w:r>
      <w:r w:rsidR="003238A9">
        <w:rPr>
          <w:rStyle w:val="Hyperlink"/>
          <w:color w:val="auto"/>
          <w:u w:val="none"/>
        </w:rPr>
        <w:t>nutzen</w:t>
      </w:r>
      <w:r w:rsidRPr="00B46C58">
        <w:rPr>
          <w:rStyle w:val="Hyperlink"/>
          <w:color w:val="auto"/>
          <w:u w:val="none"/>
        </w:rPr>
        <w:t>. Wartungsplanungssysteme (</w:t>
      </w:r>
      <w:r w:rsidR="003F5554">
        <w:rPr>
          <w:rStyle w:val="Hyperlink"/>
          <w:color w:val="auto"/>
          <w:u w:val="none"/>
        </w:rPr>
        <w:t xml:space="preserve">wie TGW </w:t>
      </w:r>
      <w:r w:rsidRPr="00B46C58">
        <w:rPr>
          <w:rStyle w:val="Hyperlink"/>
          <w:color w:val="auto"/>
          <w:u w:val="none"/>
        </w:rPr>
        <w:t xml:space="preserve">CMMS), Visualisierungs- und </w:t>
      </w:r>
      <w:r w:rsidR="003F5554" w:rsidRPr="00B46C58">
        <w:rPr>
          <w:rStyle w:val="Hyperlink"/>
          <w:color w:val="auto"/>
          <w:u w:val="none"/>
        </w:rPr>
        <w:t>Monitoring</w:t>
      </w:r>
      <w:r w:rsidR="003F5554">
        <w:rPr>
          <w:rStyle w:val="Hyperlink"/>
          <w:color w:val="auto"/>
          <w:u w:val="none"/>
        </w:rPr>
        <w:t>tools</w:t>
      </w:r>
      <w:r w:rsidR="003F5554" w:rsidRPr="00B46C58">
        <w:rPr>
          <w:rStyle w:val="Hyperlink"/>
          <w:color w:val="auto"/>
          <w:u w:val="none"/>
        </w:rPr>
        <w:t xml:space="preserve"> </w:t>
      </w:r>
      <w:r w:rsidRPr="00B46C58">
        <w:rPr>
          <w:rStyle w:val="Hyperlink"/>
          <w:color w:val="auto"/>
          <w:u w:val="none"/>
        </w:rPr>
        <w:t xml:space="preserve">sowie digitale Assistenzsysteme sind nur einige Beispiele, wie </w:t>
      </w:r>
      <w:r w:rsidR="000B5A93">
        <w:rPr>
          <w:rStyle w:val="Hyperlink"/>
          <w:color w:val="auto"/>
          <w:u w:val="none"/>
        </w:rPr>
        <w:t>moderne Technologie die Service</w:t>
      </w:r>
      <w:r w:rsidRPr="00B46C58">
        <w:rPr>
          <w:rStyle w:val="Hyperlink"/>
          <w:color w:val="auto"/>
          <w:u w:val="none"/>
        </w:rPr>
        <w:t>teams effizienter machen kann.</w:t>
      </w:r>
    </w:p>
    <w:p w14:paraId="2A2D7AE0" w14:textId="77777777" w:rsidR="00B46C58" w:rsidRPr="00B46C58" w:rsidRDefault="00B46C58" w:rsidP="00660132">
      <w:pPr>
        <w:spacing w:line="360" w:lineRule="auto"/>
        <w:ind w:left="0" w:right="1693"/>
        <w:rPr>
          <w:rStyle w:val="Hyperlink"/>
          <w:color w:val="auto"/>
          <w:u w:val="none"/>
        </w:rPr>
      </w:pPr>
    </w:p>
    <w:p w14:paraId="15C016F9" w14:textId="4DBDBB43" w:rsidR="00B46C58" w:rsidRDefault="00B46C58" w:rsidP="00660132">
      <w:pPr>
        <w:spacing w:line="360" w:lineRule="auto"/>
        <w:ind w:left="0" w:right="1693"/>
        <w:rPr>
          <w:rStyle w:val="Hyperlink"/>
          <w:color w:val="auto"/>
          <w:u w:val="none"/>
        </w:rPr>
      </w:pPr>
      <w:r w:rsidRPr="00B46C58">
        <w:rPr>
          <w:rStyle w:val="Hyperlink"/>
          <w:b/>
          <w:color w:val="auto"/>
          <w:u w:val="none"/>
        </w:rPr>
        <w:t>8. Daten zur kontinuierlichen Verbesserung analysieren:</w:t>
      </w:r>
      <w:r w:rsidRPr="00B46C58">
        <w:rPr>
          <w:rStyle w:val="Hyperlink"/>
          <w:color w:val="auto"/>
          <w:u w:val="none"/>
        </w:rPr>
        <w:t xml:space="preserve"> Eine automatisierte Anlage produziert große Datenmengen. Diese gilt es zu verstehen, zu filtern, zusammenzuführen, auszuwerten und sinnvolle Schlüsse daraus zu ziehen. Im Idealfall beherrschen die Projektpartner die Datenflüsse so, dass sie im Alltag nach einer </w:t>
      </w:r>
      <w:r w:rsidR="00DC51F7">
        <w:rPr>
          <w:rStyle w:val="Hyperlink"/>
          <w:color w:val="auto"/>
          <w:u w:val="none"/>
        </w:rPr>
        <w:t>Analyse</w:t>
      </w:r>
      <w:r w:rsidR="00DC51F7" w:rsidRPr="00B46C58">
        <w:rPr>
          <w:rStyle w:val="Hyperlink"/>
          <w:color w:val="auto"/>
          <w:u w:val="none"/>
        </w:rPr>
        <w:t xml:space="preserve"> </w:t>
      </w:r>
      <w:r w:rsidRPr="00B46C58">
        <w:rPr>
          <w:rStyle w:val="Hyperlink"/>
          <w:color w:val="auto"/>
          <w:u w:val="none"/>
        </w:rPr>
        <w:t xml:space="preserve">schnell Entscheidungen treffen können. </w:t>
      </w:r>
      <w:r w:rsidR="00092354">
        <w:rPr>
          <w:rStyle w:val="Hyperlink"/>
          <w:color w:val="auto"/>
          <w:u w:val="none"/>
        </w:rPr>
        <w:t>Vorausschauende</w:t>
      </w:r>
      <w:r w:rsidR="00092354" w:rsidRPr="00B46C58">
        <w:rPr>
          <w:rStyle w:val="Hyperlink"/>
          <w:color w:val="auto"/>
          <w:u w:val="none"/>
        </w:rPr>
        <w:t xml:space="preserve"> </w:t>
      </w:r>
      <w:r w:rsidRPr="00B46C58">
        <w:rPr>
          <w:rStyle w:val="Hyperlink"/>
          <w:color w:val="auto"/>
          <w:u w:val="none"/>
        </w:rPr>
        <w:t>Wartu</w:t>
      </w:r>
      <w:r w:rsidR="00461EA5">
        <w:rPr>
          <w:rStyle w:val="Hyperlink"/>
          <w:color w:val="auto"/>
          <w:u w:val="none"/>
        </w:rPr>
        <w:t>ng (Predictive Maintenance),</w:t>
      </w:r>
      <w:r w:rsidRPr="00B46C58">
        <w:rPr>
          <w:rStyle w:val="Hyperlink"/>
          <w:color w:val="auto"/>
          <w:u w:val="none"/>
        </w:rPr>
        <w:t xml:space="preserve"> Zustandsüberwachung (Condition Monitoring) </w:t>
      </w:r>
      <w:r w:rsidR="00461EA5">
        <w:rPr>
          <w:rStyle w:val="Hyperlink"/>
          <w:color w:val="auto"/>
          <w:u w:val="none"/>
        </w:rPr>
        <w:t>und Datenbankanalyse</w:t>
      </w:r>
      <w:r w:rsidR="00940669">
        <w:rPr>
          <w:rStyle w:val="Hyperlink"/>
          <w:color w:val="auto"/>
          <w:u w:val="none"/>
        </w:rPr>
        <w:t>n</w:t>
      </w:r>
      <w:r w:rsidR="00461EA5">
        <w:rPr>
          <w:rStyle w:val="Hyperlink"/>
          <w:color w:val="auto"/>
          <w:u w:val="none"/>
        </w:rPr>
        <w:t xml:space="preserve"> (Data Mining) </w:t>
      </w:r>
      <w:r w:rsidRPr="00B46C58">
        <w:rPr>
          <w:rStyle w:val="Hyperlink"/>
          <w:color w:val="auto"/>
          <w:u w:val="none"/>
        </w:rPr>
        <w:t>sind die Schlagworte in diesem Zusammenhang.</w:t>
      </w:r>
    </w:p>
    <w:p w14:paraId="7E419669" w14:textId="77777777" w:rsidR="00475D53" w:rsidRPr="00B46C58" w:rsidRDefault="00475D53" w:rsidP="00660132">
      <w:pPr>
        <w:spacing w:line="360" w:lineRule="auto"/>
        <w:ind w:left="0" w:right="1693"/>
        <w:rPr>
          <w:rStyle w:val="Hyperlink"/>
          <w:color w:val="auto"/>
          <w:u w:val="none"/>
        </w:rPr>
      </w:pPr>
    </w:p>
    <w:p w14:paraId="053E18A4" w14:textId="4DCB9F60"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9. Überraschungen proaktiv vermeiden:</w:t>
      </w:r>
      <w:r w:rsidRPr="00B46C58">
        <w:rPr>
          <w:rStyle w:val="Hyperlink"/>
          <w:color w:val="auto"/>
          <w:u w:val="none"/>
        </w:rPr>
        <w:t xml:space="preserve"> In diesem Zusammenhang ist vor allem der professionelle Umgang mit Auslastungsspitzen wichtig. Peak-Seasons, wie der Black-Friday in USA oder die Weihnachtssaison, sollten als eigene Projekte definiert werden, auf die sich die </w:t>
      </w:r>
      <w:r w:rsidR="00461EA5">
        <w:rPr>
          <w:rStyle w:val="Hyperlink"/>
          <w:color w:val="auto"/>
          <w:u w:val="none"/>
        </w:rPr>
        <w:t>Teams</w:t>
      </w:r>
      <w:r w:rsidRPr="00B46C58">
        <w:rPr>
          <w:rStyle w:val="Hyperlink"/>
          <w:color w:val="auto"/>
          <w:u w:val="none"/>
        </w:rPr>
        <w:t xml:space="preserve"> vorbereiten</w:t>
      </w:r>
      <w:r w:rsidR="00C00CE0">
        <w:rPr>
          <w:rStyle w:val="Hyperlink"/>
          <w:color w:val="auto"/>
          <w:u w:val="none"/>
        </w:rPr>
        <w:t xml:space="preserve"> müssen</w:t>
      </w:r>
      <w:r w:rsidRPr="00B46C58">
        <w:rPr>
          <w:rStyle w:val="Hyperlink"/>
          <w:color w:val="auto"/>
          <w:u w:val="none"/>
        </w:rPr>
        <w:t>. Dabei kann es durchaus vorkommen, dass sich der Personalbedarf vor Ort</w:t>
      </w:r>
      <w:r w:rsidR="00461EA5">
        <w:rPr>
          <w:rStyle w:val="Hyperlink"/>
          <w:color w:val="auto"/>
          <w:u w:val="none"/>
        </w:rPr>
        <w:t xml:space="preserve"> temporär</w:t>
      </w:r>
      <w:r w:rsidRPr="00B46C58">
        <w:rPr>
          <w:rStyle w:val="Hyperlink"/>
          <w:color w:val="auto"/>
          <w:u w:val="none"/>
        </w:rPr>
        <w:t xml:space="preserve"> erhöht. Zudem macht eine Präventivwartung an kritischen Stellen der Anlage Sinn, ehe die Hochsaison beginnt. </w:t>
      </w:r>
    </w:p>
    <w:p w14:paraId="3A43F850" w14:textId="77777777" w:rsidR="00B46C58" w:rsidRPr="00B46C58" w:rsidRDefault="00B46C58" w:rsidP="00660132">
      <w:pPr>
        <w:spacing w:line="360" w:lineRule="auto"/>
        <w:ind w:left="0" w:right="1693"/>
        <w:rPr>
          <w:rStyle w:val="Hyperlink"/>
          <w:color w:val="auto"/>
          <w:u w:val="none"/>
        </w:rPr>
      </w:pPr>
    </w:p>
    <w:p w14:paraId="5C99D965" w14:textId="0D61ED0D" w:rsidR="00B46C58" w:rsidRPr="00B46C58" w:rsidRDefault="00B46C58" w:rsidP="00660132">
      <w:pPr>
        <w:spacing w:line="360" w:lineRule="auto"/>
        <w:ind w:left="0" w:right="1693"/>
        <w:rPr>
          <w:rStyle w:val="Hyperlink"/>
          <w:color w:val="auto"/>
          <w:u w:val="none"/>
        </w:rPr>
      </w:pPr>
      <w:r w:rsidRPr="00B46C58">
        <w:rPr>
          <w:rStyle w:val="Hyperlink"/>
          <w:b/>
          <w:color w:val="auto"/>
          <w:u w:val="none"/>
        </w:rPr>
        <w:t>10. Laufende Weiterentwicklung heißt Retrofit:</w:t>
      </w:r>
      <w:r w:rsidRPr="00B46C58">
        <w:rPr>
          <w:rStyle w:val="Hyperlink"/>
          <w:color w:val="auto"/>
          <w:u w:val="none"/>
        </w:rPr>
        <w:t xml:space="preserve"> Ein Intralogistiksystem wird auf ein bestimmtes Anforderungsprofil ausgelegt, das meist auf der Businessprognose des Auftraggebers basiert. Zum Zeitpunkt des Anlagenstarts ist diese Prognose entweder eingetreten oder es gibt bereits das erste Optimierungspotential.</w:t>
      </w:r>
      <w:r w:rsidR="00E8148C">
        <w:rPr>
          <w:rStyle w:val="Hyperlink"/>
          <w:color w:val="auto"/>
          <w:u w:val="none"/>
        </w:rPr>
        <w:t xml:space="preserve"> Retrofit- bzw. Modernisierungsmaßnahmen helfen dabei, die Anlage wieder auf die veränderten Rahmenbedingungen auszurichten.</w:t>
      </w:r>
    </w:p>
    <w:p w14:paraId="779D9F89" w14:textId="3BDEAE39" w:rsidR="00AA52E5" w:rsidRDefault="00AA52E5" w:rsidP="00660132">
      <w:pPr>
        <w:spacing w:line="240" w:lineRule="auto"/>
        <w:ind w:left="0" w:right="1693"/>
        <w:rPr>
          <w:rStyle w:val="Hyperlink"/>
          <w:color w:val="auto"/>
          <w:u w:val="none"/>
          <w:lang w:val="de-AT"/>
        </w:rPr>
      </w:pPr>
    </w:p>
    <w:p w14:paraId="68CE9274" w14:textId="7815C469" w:rsidR="00E17AAB" w:rsidRDefault="00E17AAB" w:rsidP="00660132">
      <w:pPr>
        <w:spacing w:line="240" w:lineRule="auto"/>
        <w:ind w:left="0" w:right="1693"/>
        <w:rPr>
          <w:rStyle w:val="Hyperlink"/>
          <w:color w:val="auto"/>
          <w:u w:val="none"/>
          <w:lang w:val="de-AT"/>
        </w:rPr>
      </w:pPr>
    </w:p>
    <w:p w14:paraId="1D9EC216" w14:textId="30F6C3EC" w:rsidR="00E17AAB" w:rsidRPr="00E17AAB" w:rsidRDefault="00E17AAB" w:rsidP="00E17AAB">
      <w:pPr>
        <w:ind w:left="0"/>
        <w:rPr>
          <w:rFonts w:cs="Arial"/>
          <w:b/>
          <w:iCs/>
          <w:szCs w:val="20"/>
        </w:rPr>
      </w:pPr>
      <w:r w:rsidRPr="00E17AAB">
        <w:rPr>
          <w:rFonts w:cs="Arial"/>
          <w:b/>
          <w:iCs/>
          <w:szCs w:val="20"/>
        </w:rPr>
        <w:t>Lifetime Services Video</w:t>
      </w:r>
    </w:p>
    <w:p w14:paraId="761CDD50" w14:textId="28DC11AC" w:rsidR="00E17AAB" w:rsidRPr="00E17AAB" w:rsidRDefault="00E17AAB" w:rsidP="00E17AAB">
      <w:pPr>
        <w:ind w:left="0"/>
        <w:rPr>
          <w:rStyle w:val="Hyperlink"/>
          <w:rFonts w:cs="Arial"/>
          <w:iCs/>
          <w:color w:val="auto"/>
          <w:szCs w:val="20"/>
          <w:u w:val="none"/>
        </w:rPr>
      </w:pPr>
      <w:r w:rsidRPr="00E17AAB">
        <w:rPr>
          <w:rFonts w:cs="Arial"/>
          <w:iCs/>
          <w:szCs w:val="20"/>
        </w:rPr>
        <w:t>So meistert TGW die Herausforderungen mit einem ausgewogenen Service-Portfolio.</w:t>
      </w:r>
    </w:p>
    <w:p w14:paraId="1B1AED86" w14:textId="77777777" w:rsidR="00E17AAB" w:rsidRDefault="00E17AAB" w:rsidP="00660132">
      <w:pPr>
        <w:spacing w:line="240" w:lineRule="auto"/>
        <w:ind w:left="0" w:right="1693"/>
        <w:rPr>
          <w:rStyle w:val="Hyperlink"/>
          <w:color w:val="auto"/>
          <w:u w:val="none"/>
          <w:lang w:val="de-AT"/>
        </w:rPr>
      </w:pPr>
    </w:p>
    <w:p w14:paraId="7F82237E" w14:textId="1D6AF6E4" w:rsidR="00DD6BC9" w:rsidRDefault="00940669" w:rsidP="00660132">
      <w:pPr>
        <w:spacing w:line="240" w:lineRule="auto"/>
        <w:ind w:left="0" w:right="1693"/>
        <w:rPr>
          <w:rStyle w:val="Hyperlink"/>
          <w:color w:val="auto"/>
          <w:u w:val="none"/>
          <w:lang w:val="de-AT"/>
        </w:rPr>
      </w:pPr>
      <w:r>
        <w:rPr>
          <w:rStyle w:val="Hyperlink"/>
          <w:color w:val="auto"/>
          <w:u w:val="none"/>
          <w:lang w:val="de-AT"/>
        </w:rPr>
        <w:pict w14:anchorId="65FB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77.2pt">
            <v:imagedata r:id="rId8" o:title="LTS_Video_Deutsch"/>
          </v:shape>
        </w:pict>
      </w:r>
    </w:p>
    <w:p w14:paraId="5C307E38" w14:textId="595FE752" w:rsidR="00E17AAB" w:rsidRDefault="00E17AAB" w:rsidP="00660132">
      <w:pPr>
        <w:spacing w:line="240" w:lineRule="auto"/>
        <w:ind w:left="0" w:right="1693"/>
        <w:rPr>
          <w:rStyle w:val="Hyperlink"/>
          <w:color w:val="auto"/>
          <w:u w:val="none"/>
          <w:lang w:val="de-AT"/>
        </w:rPr>
      </w:pPr>
    </w:p>
    <w:p w14:paraId="4F3A105A" w14:textId="24E61266" w:rsidR="00E17AAB" w:rsidRDefault="00E17AAB" w:rsidP="00660132">
      <w:pPr>
        <w:spacing w:line="240" w:lineRule="auto"/>
        <w:ind w:left="0" w:right="1693"/>
        <w:rPr>
          <w:rStyle w:val="Hyperlink"/>
          <w:color w:val="auto"/>
          <w:u w:val="none"/>
          <w:lang w:val="de-AT"/>
        </w:rPr>
      </w:pPr>
    </w:p>
    <w:p w14:paraId="295C8FE6" w14:textId="76343C41" w:rsidR="00E17AAB" w:rsidRDefault="00E17AAB" w:rsidP="00660132">
      <w:pPr>
        <w:spacing w:line="240" w:lineRule="auto"/>
        <w:ind w:left="0" w:right="1693"/>
        <w:rPr>
          <w:rStyle w:val="Hyperlink"/>
          <w:color w:val="auto"/>
          <w:u w:val="none"/>
          <w:lang w:val="de-AT"/>
        </w:rPr>
      </w:pPr>
    </w:p>
    <w:p w14:paraId="4CF8835F" w14:textId="38AA4EA4" w:rsidR="005F275F" w:rsidRDefault="005F275F" w:rsidP="00660132">
      <w:pPr>
        <w:spacing w:line="240" w:lineRule="auto"/>
        <w:ind w:left="0" w:right="1693"/>
        <w:rPr>
          <w:rStyle w:val="Hyperlink"/>
          <w:color w:val="auto"/>
          <w:u w:val="none"/>
          <w:lang w:val="de-AT"/>
        </w:rPr>
      </w:pPr>
    </w:p>
    <w:p w14:paraId="7897AB96" w14:textId="7590F21A" w:rsidR="005F275F" w:rsidRDefault="005F275F" w:rsidP="00660132">
      <w:pPr>
        <w:spacing w:line="240" w:lineRule="auto"/>
        <w:ind w:left="0" w:right="1693"/>
        <w:rPr>
          <w:rStyle w:val="Hyperlink"/>
          <w:color w:val="auto"/>
          <w:u w:val="none"/>
          <w:lang w:val="de-AT"/>
        </w:rPr>
      </w:pPr>
    </w:p>
    <w:p w14:paraId="54A4D0C5" w14:textId="0F5A90CB" w:rsidR="005F275F" w:rsidRDefault="005F275F" w:rsidP="00660132">
      <w:pPr>
        <w:spacing w:line="240" w:lineRule="auto"/>
        <w:ind w:left="0" w:right="1693"/>
        <w:rPr>
          <w:rStyle w:val="Hyperlink"/>
          <w:color w:val="auto"/>
          <w:u w:val="none"/>
          <w:lang w:val="de-AT"/>
        </w:rPr>
      </w:pPr>
    </w:p>
    <w:p w14:paraId="20716B41" w14:textId="714CC54D" w:rsidR="005F275F" w:rsidRDefault="005F275F" w:rsidP="00660132">
      <w:pPr>
        <w:spacing w:line="240" w:lineRule="auto"/>
        <w:ind w:left="0" w:right="1693"/>
        <w:rPr>
          <w:rStyle w:val="Hyperlink"/>
          <w:color w:val="auto"/>
          <w:u w:val="none"/>
          <w:lang w:val="de-AT"/>
        </w:rPr>
      </w:pPr>
    </w:p>
    <w:p w14:paraId="293A1EC6" w14:textId="0094996F" w:rsidR="005F275F" w:rsidRDefault="005F275F" w:rsidP="00660132">
      <w:pPr>
        <w:spacing w:line="240" w:lineRule="auto"/>
        <w:ind w:left="0" w:right="1693"/>
        <w:rPr>
          <w:rStyle w:val="Hyperlink"/>
          <w:color w:val="auto"/>
          <w:u w:val="none"/>
          <w:lang w:val="de-AT"/>
        </w:rPr>
      </w:pPr>
    </w:p>
    <w:p w14:paraId="5FCEEFAB" w14:textId="1268A137" w:rsidR="005F275F" w:rsidRDefault="005F275F" w:rsidP="00660132">
      <w:pPr>
        <w:spacing w:line="240" w:lineRule="auto"/>
        <w:ind w:left="0" w:right="1693"/>
        <w:rPr>
          <w:rStyle w:val="Hyperlink"/>
          <w:color w:val="auto"/>
          <w:u w:val="none"/>
          <w:lang w:val="de-AT"/>
        </w:rPr>
      </w:pPr>
    </w:p>
    <w:p w14:paraId="52FD6889" w14:textId="271F7E5A" w:rsidR="005F275F" w:rsidRDefault="005F275F" w:rsidP="00660132">
      <w:pPr>
        <w:spacing w:line="240" w:lineRule="auto"/>
        <w:ind w:left="0" w:right="1693"/>
        <w:rPr>
          <w:rStyle w:val="Hyperlink"/>
          <w:color w:val="auto"/>
          <w:u w:val="none"/>
          <w:lang w:val="de-AT"/>
        </w:rPr>
      </w:pPr>
    </w:p>
    <w:p w14:paraId="7E3F0AD9" w14:textId="7D5FC1BC" w:rsidR="005F275F" w:rsidRDefault="005F275F" w:rsidP="00660132">
      <w:pPr>
        <w:spacing w:line="240" w:lineRule="auto"/>
        <w:ind w:left="0" w:right="1693"/>
        <w:rPr>
          <w:rStyle w:val="Hyperlink"/>
          <w:color w:val="auto"/>
          <w:u w:val="none"/>
          <w:lang w:val="de-AT"/>
        </w:rPr>
      </w:pPr>
    </w:p>
    <w:p w14:paraId="5D985722" w14:textId="6572334D" w:rsidR="005F275F" w:rsidRDefault="005F275F" w:rsidP="00660132">
      <w:pPr>
        <w:spacing w:line="240" w:lineRule="auto"/>
        <w:ind w:left="0" w:right="1693"/>
        <w:rPr>
          <w:rStyle w:val="Hyperlink"/>
          <w:color w:val="auto"/>
          <w:u w:val="none"/>
          <w:lang w:val="de-AT"/>
        </w:rPr>
      </w:pPr>
    </w:p>
    <w:p w14:paraId="6926EDBB" w14:textId="746683FF" w:rsidR="005F275F" w:rsidRDefault="005F275F" w:rsidP="00660132">
      <w:pPr>
        <w:spacing w:line="240" w:lineRule="auto"/>
        <w:ind w:left="0" w:right="1693"/>
        <w:rPr>
          <w:rStyle w:val="Hyperlink"/>
          <w:color w:val="auto"/>
          <w:u w:val="none"/>
          <w:lang w:val="de-AT"/>
        </w:rPr>
      </w:pPr>
    </w:p>
    <w:p w14:paraId="1BE2C3F3" w14:textId="126910D2" w:rsidR="005F275F" w:rsidRDefault="005F275F" w:rsidP="00660132">
      <w:pPr>
        <w:spacing w:line="240" w:lineRule="auto"/>
        <w:ind w:left="0" w:right="1693"/>
        <w:rPr>
          <w:rStyle w:val="Hyperlink"/>
          <w:color w:val="auto"/>
          <w:u w:val="none"/>
          <w:lang w:val="de-AT"/>
        </w:rPr>
      </w:pPr>
    </w:p>
    <w:p w14:paraId="63B6F984" w14:textId="11A332F7" w:rsidR="005F275F" w:rsidRDefault="005F275F" w:rsidP="00660132">
      <w:pPr>
        <w:spacing w:line="240" w:lineRule="auto"/>
        <w:ind w:left="0" w:right="1693"/>
        <w:rPr>
          <w:rStyle w:val="Hyperlink"/>
          <w:color w:val="auto"/>
          <w:u w:val="none"/>
          <w:lang w:val="de-AT"/>
        </w:rPr>
      </w:pPr>
    </w:p>
    <w:p w14:paraId="3CE6F450" w14:textId="13DF4CD7" w:rsidR="005F275F" w:rsidRDefault="005F275F" w:rsidP="00660132">
      <w:pPr>
        <w:spacing w:line="240" w:lineRule="auto"/>
        <w:ind w:left="0" w:right="1693"/>
        <w:rPr>
          <w:rStyle w:val="Hyperlink"/>
          <w:color w:val="auto"/>
          <w:u w:val="none"/>
          <w:lang w:val="de-AT"/>
        </w:rPr>
      </w:pPr>
    </w:p>
    <w:p w14:paraId="78938EFF" w14:textId="0054063F" w:rsidR="005F275F" w:rsidRDefault="005F275F" w:rsidP="00660132">
      <w:pPr>
        <w:spacing w:line="240" w:lineRule="auto"/>
        <w:ind w:left="0" w:right="1693"/>
        <w:rPr>
          <w:rStyle w:val="Hyperlink"/>
          <w:color w:val="auto"/>
          <w:u w:val="none"/>
          <w:lang w:val="de-AT"/>
        </w:rPr>
      </w:pPr>
    </w:p>
    <w:p w14:paraId="3280531D" w14:textId="21011B28" w:rsidR="005F275F" w:rsidRDefault="005F275F" w:rsidP="00660132">
      <w:pPr>
        <w:spacing w:line="240" w:lineRule="auto"/>
        <w:ind w:left="0" w:right="1693"/>
        <w:rPr>
          <w:rStyle w:val="Hyperlink"/>
          <w:color w:val="auto"/>
          <w:u w:val="none"/>
          <w:lang w:val="de-AT"/>
        </w:rPr>
      </w:pPr>
    </w:p>
    <w:p w14:paraId="427B9E4E" w14:textId="351F8282" w:rsidR="005F275F" w:rsidRDefault="005F275F" w:rsidP="00660132">
      <w:pPr>
        <w:spacing w:line="240" w:lineRule="auto"/>
        <w:ind w:left="0" w:right="1693"/>
        <w:rPr>
          <w:rStyle w:val="Hyperlink"/>
          <w:color w:val="auto"/>
          <w:u w:val="none"/>
          <w:lang w:val="de-AT"/>
        </w:rPr>
      </w:pPr>
    </w:p>
    <w:p w14:paraId="14DE77EA" w14:textId="2CD66FA1" w:rsidR="005F275F" w:rsidRDefault="005F275F" w:rsidP="00660132">
      <w:pPr>
        <w:spacing w:line="240" w:lineRule="auto"/>
        <w:ind w:left="0" w:right="1693"/>
        <w:rPr>
          <w:rStyle w:val="Hyperlink"/>
          <w:color w:val="auto"/>
          <w:u w:val="none"/>
          <w:lang w:val="de-AT"/>
        </w:rPr>
      </w:pPr>
    </w:p>
    <w:p w14:paraId="39854D41" w14:textId="49295873" w:rsidR="005F275F" w:rsidRDefault="005F275F" w:rsidP="00660132">
      <w:pPr>
        <w:spacing w:line="240" w:lineRule="auto"/>
        <w:ind w:left="0" w:right="1693"/>
        <w:rPr>
          <w:rStyle w:val="Hyperlink"/>
          <w:color w:val="auto"/>
          <w:u w:val="none"/>
          <w:lang w:val="de-AT"/>
        </w:rPr>
      </w:pPr>
    </w:p>
    <w:p w14:paraId="523320B9" w14:textId="0BA719FC" w:rsidR="005F275F" w:rsidRDefault="005F275F" w:rsidP="00660132">
      <w:pPr>
        <w:spacing w:line="240" w:lineRule="auto"/>
        <w:ind w:left="0" w:right="1693"/>
        <w:rPr>
          <w:rStyle w:val="Hyperlink"/>
          <w:color w:val="auto"/>
          <w:u w:val="none"/>
          <w:lang w:val="de-AT"/>
        </w:rPr>
      </w:pPr>
    </w:p>
    <w:p w14:paraId="249C81C2" w14:textId="262F55A8" w:rsidR="005F275F" w:rsidRDefault="005F275F" w:rsidP="00660132">
      <w:pPr>
        <w:spacing w:line="240" w:lineRule="auto"/>
        <w:ind w:left="0" w:right="1693"/>
        <w:rPr>
          <w:rStyle w:val="Hyperlink"/>
          <w:color w:val="auto"/>
          <w:u w:val="none"/>
          <w:lang w:val="de-AT"/>
        </w:rPr>
      </w:pPr>
    </w:p>
    <w:p w14:paraId="00F5E5C7" w14:textId="2035DF59" w:rsidR="005F275F" w:rsidRDefault="005F275F" w:rsidP="00660132">
      <w:pPr>
        <w:spacing w:line="240" w:lineRule="auto"/>
        <w:ind w:left="0" w:right="1693"/>
        <w:rPr>
          <w:rStyle w:val="Hyperlink"/>
          <w:color w:val="auto"/>
          <w:u w:val="none"/>
          <w:lang w:val="de-AT"/>
        </w:rPr>
      </w:pPr>
    </w:p>
    <w:p w14:paraId="4DC61174" w14:textId="0A2E52BC" w:rsidR="005F275F" w:rsidRDefault="005F275F" w:rsidP="00660132">
      <w:pPr>
        <w:spacing w:line="240" w:lineRule="auto"/>
        <w:ind w:left="0" w:right="1693"/>
        <w:rPr>
          <w:rStyle w:val="Hyperlink"/>
          <w:color w:val="auto"/>
          <w:u w:val="none"/>
          <w:lang w:val="de-AT"/>
        </w:rPr>
      </w:pPr>
    </w:p>
    <w:p w14:paraId="2E28AE0C" w14:textId="2BE98473" w:rsidR="005F275F" w:rsidRDefault="005F275F" w:rsidP="00660132">
      <w:pPr>
        <w:spacing w:line="240" w:lineRule="auto"/>
        <w:ind w:left="0" w:right="1693"/>
        <w:rPr>
          <w:rStyle w:val="Hyperlink"/>
          <w:color w:val="auto"/>
          <w:u w:val="none"/>
          <w:lang w:val="de-AT"/>
        </w:rPr>
      </w:pPr>
    </w:p>
    <w:p w14:paraId="388AF40A" w14:textId="6D0C8132" w:rsidR="005F275F" w:rsidRDefault="005F275F" w:rsidP="00660132">
      <w:pPr>
        <w:spacing w:line="240" w:lineRule="auto"/>
        <w:ind w:left="0" w:right="1693"/>
        <w:rPr>
          <w:rStyle w:val="Hyperlink"/>
          <w:color w:val="auto"/>
          <w:u w:val="none"/>
          <w:lang w:val="de-AT"/>
        </w:rPr>
      </w:pPr>
    </w:p>
    <w:p w14:paraId="13C54ACF" w14:textId="2DF90A0D" w:rsidR="005F275F" w:rsidRDefault="005F275F" w:rsidP="00660132">
      <w:pPr>
        <w:spacing w:line="240" w:lineRule="auto"/>
        <w:ind w:left="0" w:right="1693"/>
        <w:rPr>
          <w:rStyle w:val="Hyperlink"/>
          <w:color w:val="auto"/>
          <w:u w:val="none"/>
          <w:lang w:val="de-AT"/>
        </w:rPr>
      </w:pPr>
    </w:p>
    <w:p w14:paraId="4603626C" w14:textId="77777777" w:rsidR="005F275F" w:rsidRDefault="005F275F" w:rsidP="00660132">
      <w:pPr>
        <w:spacing w:line="240" w:lineRule="auto"/>
        <w:ind w:left="0" w:right="1693"/>
        <w:rPr>
          <w:rStyle w:val="Hyperlink"/>
          <w:color w:val="auto"/>
          <w:u w:val="none"/>
          <w:lang w:val="de-AT"/>
        </w:rPr>
      </w:pPr>
    </w:p>
    <w:p w14:paraId="342C3620" w14:textId="759C25BD" w:rsidR="00E17AAB" w:rsidRDefault="00E17AAB" w:rsidP="00660132">
      <w:pPr>
        <w:spacing w:line="240" w:lineRule="auto"/>
        <w:ind w:left="0" w:right="1693"/>
        <w:rPr>
          <w:rStyle w:val="Hyperlink"/>
          <w:color w:val="auto"/>
          <w:u w:val="none"/>
          <w:lang w:val="de-AT"/>
        </w:rPr>
      </w:pPr>
    </w:p>
    <w:p w14:paraId="0260BD93" w14:textId="2D028CFA" w:rsidR="00E17AAB" w:rsidRDefault="00E17AAB" w:rsidP="00660132">
      <w:pPr>
        <w:spacing w:line="240" w:lineRule="auto"/>
        <w:ind w:left="0" w:right="1693"/>
        <w:rPr>
          <w:rStyle w:val="Hyperlink"/>
          <w:color w:val="auto"/>
          <w:u w:val="none"/>
          <w:lang w:val="de-AT"/>
        </w:rPr>
      </w:pPr>
    </w:p>
    <w:p w14:paraId="55E72D08" w14:textId="77777777" w:rsidR="00E17AAB" w:rsidRDefault="00E17AAB" w:rsidP="00660132">
      <w:pPr>
        <w:spacing w:line="240" w:lineRule="auto"/>
        <w:ind w:left="0" w:right="1693"/>
        <w:rPr>
          <w:rStyle w:val="Hyperlink"/>
          <w:color w:val="auto"/>
          <w:u w:val="none"/>
          <w:lang w:val="de-AT"/>
        </w:rPr>
      </w:pPr>
    </w:p>
    <w:p w14:paraId="74FE3BD5" w14:textId="77777777" w:rsidR="007317B6" w:rsidRPr="003856E8" w:rsidRDefault="003E19CC" w:rsidP="00660132">
      <w:pPr>
        <w:spacing w:line="240" w:lineRule="auto"/>
        <w:ind w:left="0" w:right="1693"/>
        <w:rPr>
          <w:rStyle w:val="Hyperlink"/>
          <w:color w:val="auto"/>
          <w:u w:val="none"/>
          <w:lang w:val="en-AU"/>
        </w:rPr>
      </w:pPr>
      <w:hyperlink r:id="rId9" w:history="1">
        <w:r w:rsidR="007317B6" w:rsidRPr="003856E8">
          <w:rPr>
            <w:rStyle w:val="Hyperlink"/>
            <w:lang w:val="en-AU"/>
          </w:rPr>
          <w:t>www.tgw-group.com</w:t>
        </w:r>
      </w:hyperlink>
    </w:p>
    <w:p w14:paraId="584A5E54" w14:textId="77777777" w:rsidR="00D1043D" w:rsidRPr="003856E8" w:rsidRDefault="00D1043D" w:rsidP="00660132">
      <w:pPr>
        <w:spacing w:line="240" w:lineRule="auto"/>
        <w:ind w:left="0" w:right="1693"/>
        <w:rPr>
          <w:rStyle w:val="Hyperlink"/>
          <w:color w:val="auto"/>
          <w:u w:val="none"/>
          <w:lang w:val="en-AU"/>
        </w:rPr>
      </w:pPr>
    </w:p>
    <w:p w14:paraId="38119169" w14:textId="77777777" w:rsidR="00D1043D" w:rsidRPr="003856E8" w:rsidRDefault="00D1043D" w:rsidP="00660132">
      <w:pPr>
        <w:spacing w:line="240" w:lineRule="auto"/>
        <w:ind w:left="0" w:right="1693"/>
        <w:rPr>
          <w:rStyle w:val="Hyperlink"/>
          <w:b/>
          <w:color w:val="auto"/>
          <w:u w:val="none"/>
          <w:lang w:val="en-AU"/>
        </w:rPr>
      </w:pPr>
      <w:r w:rsidRPr="003856E8">
        <w:rPr>
          <w:rStyle w:val="Hyperlink"/>
          <w:b/>
          <w:color w:val="auto"/>
          <w:u w:val="none"/>
          <w:lang w:val="en-AU"/>
        </w:rPr>
        <w:t>Über die TGW Logistics Group:</w:t>
      </w:r>
    </w:p>
    <w:p w14:paraId="15043B45" w14:textId="6B9473F4"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ist ein international führender Anbieter von Intralogistik-Lösungen. Seit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5E627C8A" w14:textId="77777777" w:rsidR="00D1043D" w:rsidRPr="00D1043D" w:rsidRDefault="00D1043D" w:rsidP="00660132">
      <w:pPr>
        <w:spacing w:line="240" w:lineRule="auto"/>
        <w:ind w:left="0" w:right="1693"/>
        <w:rPr>
          <w:rStyle w:val="Hyperlink"/>
          <w:color w:val="auto"/>
          <w:u w:val="none"/>
        </w:rPr>
      </w:pPr>
    </w:p>
    <w:p w14:paraId="03509600"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3.300 Mitarbeiter. Im Wirtschaftsjahr 2017/2018 erzielte das Unternehmen einen Gesamtumsatz von 713 Millionen Euro.</w:t>
      </w:r>
    </w:p>
    <w:p w14:paraId="459725A3" w14:textId="77777777" w:rsidR="00D1043D" w:rsidRPr="00D1043D" w:rsidRDefault="00D1043D" w:rsidP="00660132">
      <w:pPr>
        <w:spacing w:line="240" w:lineRule="auto"/>
        <w:ind w:left="0" w:right="1693"/>
        <w:rPr>
          <w:rStyle w:val="Hyperlink"/>
          <w:color w:val="auto"/>
          <w:u w:val="none"/>
        </w:rPr>
      </w:pPr>
    </w:p>
    <w:p w14:paraId="55A233F1" w14:textId="4CD34F67" w:rsidR="00D1043D" w:rsidRPr="00D1043D" w:rsidRDefault="00D1043D" w:rsidP="00660132">
      <w:pPr>
        <w:spacing w:line="240" w:lineRule="auto"/>
        <w:ind w:left="0" w:right="1693"/>
        <w:rPr>
          <w:rStyle w:val="Hyperlink"/>
          <w:color w:val="auto"/>
          <w:u w:val="none"/>
        </w:rPr>
      </w:pPr>
    </w:p>
    <w:p w14:paraId="4AAF7B3E"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Bilder:</w:t>
      </w:r>
    </w:p>
    <w:p w14:paraId="4917D96E"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32FD3DFC" w14:textId="77777777" w:rsidR="00D1043D" w:rsidRPr="00D1043D" w:rsidRDefault="00D1043D" w:rsidP="00660132">
      <w:pPr>
        <w:spacing w:line="240" w:lineRule="auto"/>
        <w:ind w:left="0" w:right="1693"/>
        <w:rPr>
          <w:rStyle w:val="Hyperlink"/>
          <w:color w:val="auto"/>
          <w:u w:val="none"/>
        </w:rPr>
      </w:pPr>
    </w:p>
    <w:p w14:paraId="383FAB0A" w14:textId="77777777" w:rsidR="00D1043D" w:rsidRPr="00D1043D" w:rsidRDefault="00D1043D" w:rsidP="00660132">
      <w:pPr>
        <w:spacing w:line="240" w:lineRule="auto"/>
        <w:ind w:left="0" w:right="1693"/>
        <w:rPr>
          <w:rStyle w:val="Hyperlink"/>
          <w:color w:val="auto"/>
          <w:u w:val="none"/>
        </w:rPr>
      </w:pPr>
    </w:p>
    <w:p w14:paraId="7D9164D6"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Kontakt:</w:t>
      </w:r>
    </w:p>
    <w:p w14:paraId="4DD66D83"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TGW Logistics Group GmbH</w:t>
      </w:r>
    </w:p>
    <w:p w14:paraId="36341986"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 xml:space="preserve">A-4614 Marchtrenk, </w:t>
      </w:r>
      <w:r w:rsidR="00860C5A">
        <w:rPr>
          <w:rStyle w:val="Hyperlink"/>
          <w:color w:val="auto"/>
          <w:u w:val="none"/>
        </w:rPr>
        <w:t>Ludwig Szinicz Straße</w:t>
      </w:r>
      <w:r w:rsidRPr="00D1043D">
        <w:rPr>
          <w:rStyle w:val="Hyperlink"/>
          <w:color w:val="auto"/>
          <w:u w:val="none"/>
        </w:rPr>
        <w:t xml:space="preserve"> 3</w:t>
      </w:r>
    </w:p>
    <w:p w14:paraId="07C408D8"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 +43.(0)50.486-0</w:t>
      </w:r>
    </w:p>
    <w:p w14:paraId="0693EDCF"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F: +43.(0)50.486-31</w:t>
      </w:r>
    </w:p>
    <w:p w14:paraId="7416DF89"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E-Mail: tgw@tgw-group.com</w:t>
      </w:r>
    </w:p>
    <w:p w14:paraId="2C8A7399" w14:textId="7DF35788" w:rsidR="00D1043D" w:rsidRDefault="00D1043D" w:rsidP="00660132">
      <w:pPr>
        <w:spacing w:line="240" w:lineRule="auto"/>
        <w:ind w:left="0" w:right="1693"/>
        <w:rPr>
          <w:rStyle w:val="Hyperlink"/>
          <w:color w:val="auto"/>
          <w:u w:val="none"/>
        </w:rPr>
      </w:pPr>
    </w:p>
    <w:p w14:paraId="478B879F" w14:textId="77777777" w:rsidR="00885756" w:rsidRPr="00D1043D" w:rsidRDefault="00885756" w:rsidP="00885756">
      <w:pPr>
        <w:spacing w:line="240" w:lineRule="auto"/>
        <w:ind w:left="0" w:right="1693"/>
        <w:rPr>
          <w:rStyle w:val="Hyperlink"/>
          <w:color w:val="auto"/>
          <w:u w:val="none"/>
          <w:lang w:val="en-AU"/>
        </w:rPr>
      </w:pPr>
      <w:r w:rsidRPr="00D1043D">
        <w:rPr>
          <w:rStyle w:val="Hyperlink"/>
          <w:color w:val="auto"/>
          <w:u w:val="none"/>
          <w:lang w:val="en-AU"/>
        </w:rPr>
        <w:t>Alexander Tahedl</w:t>
      </w:r>
    </w:p>
    <w:p w14:paraId="4EDEC809" w14:textId="58229DD3" w:rsidR="00885756" w:rsidRPr="00D1043D" w:rsidRDefault="00885756" w:rsidP="00885756">
      <w:pPr>
        <w:spacing w:line="240" w:lineRule="auto"/>
        <w:ind w:left="0" w:right="1693"/>
        <w:rPr>
          <w:rStyle w:val="Hyperlink"/>
          <w:color w:val="auto"/>
          <w:u w:val="none"/>
          <w:lang w:val="en-AU"/>
        </w:rPr>
      </w:pPr>
      <w:r w:rsidRPr="00D1043D">
        <w:rPr>
          <w:rStyle w:val="Hyperlink"/>
          <w:color w:val="auto"/>
          <w:u w:val="none"/>
          <w:lang w:val="en-AU"/>
        </w:rPr>
        <w:t xml:space="preserve">Marketing </w:t>
      </w:r>
      <w:r>
        <w:rPr>
          <w:rStyle w:val="Hyperlink"/>
          <w:color w:val="auto"/>
          <w:u w:val="none"/>
          <w:lang w:val="en-AU"/>
        </w:rPr>
        <w:t xml:space="preserve">&amp; Communications </w:t>
      </w:r>
      <w:r w:rsidRPr="00D1043D">
        <w:rPr>
          <w:rStyle w:val="Hyperlink"/>
          <w:color w:val="auto"/>
          <w:u w:val="none"/>
          <w:lang w:val="en-AU"/>
        </w:rPr>
        <w:t>Specialist</w:t>
      </w:r>
    </w:p>
    <w:p w14:paraId="53ACE2FA" w14:textId="77777777" w:rsidR="00885756" w:rsidRPr="00A345ED" w:rsidRDefault="00885756" w:rsidP="00885756">
      <w:pPr>
        <w:spacing w:line="240" w:lineRule="auto"/>
        <w:ind w:left="0" w:right="1693"/>
        <w:rPr>
          <w:rStyle w:val="Hyperlink"/>
          <w:color w:val="auto"/>
          <w:u w:val="none"/>
          <w:lang w:val="en-AU"/>
        </w:rPr>
      </w:pPr>
      <w:r w:rsidRPr="00A345ED">
        <w:rPr>
          <w:rStyle w:val="Hyperlink"/>
          <w:color w:val="auto"/>
          <w:u w:val="none"/>
          <w:lang w:val="en-AU"/>
        </w:rPr>
        <w:t>T: +43.(0)50.486-2267</w:t>
      </w:r>
    </w:p>
    <w:p w14:paraId="2A8C6544" w14:textId="77777777" w:rsidR="00885756" w:rsidRPr="00A345ED" w:rsidRDefault="00885756" w:rsidP="00885756">
      <w:pPr>
        <w:spacing w:line="240" w:lineRule="auto"/>
        <w:ind w:left="0" w:right="1693"/>
        <w:rPr>
          <w:rStyle w:val="Hyperlink"/>
          <w:color w:val="auto"/>
          <w:u w:val="none"/>
          <w:lang w:val="en-AU"/>
        </w:rPr>
      </w:pPr>
      <w:r w:rsidRPr="00A345ED">
        <w:rPr>
          <w:rStyle w:val="Hyperlink"/>
          <w:color w:val="auto"/>
          <w:u w:val="none"/>
          <w:lang w:val="en-AU"/>
        </w:rPr>
        <w:t>M: +43.(0)664.88459713</w:t>
      </w:r>
    </w:p>
    <w:p w14:paraId="6715B060" w14:textId="77777777" w:rsidR="00885756" w:rsidRPr="00A345ED" w:rsidRDefault="00885756" w:rsidP="00885756">
      <w:pPr>
        <w:spacing w:line="240" w:lineRule="auto"/>
        <w:ind w:left="0" w:right="1693"/>
        <w:rPr>
          <w:lang w:val="en-AU"/>
        </w:rPr>
      </w:pPr>
      <w:r w:rsidRPr="00A345ED">
        <w:rPr>
          <w:rStyle w:val="Hyperlink"/>
          <w:color w:val="auto"/>
          <w:u w:val="none"/>
          <w:lang w:val="en-AU"/>
        </w:rPr>
        <w:t>alexander.tahedl@tgw-group.com</w:t>
      </w:r>
    </w:p>
    <w:p w14:paraId="58D47CB8" w14:textId="2EC3195A" w:rsidR="00885756" w:rsidRPr="00A345ED" w:rsidRDefault="00885756" w:rsidP="00660132">
      <w:pPr>
        <w:spacing w:line="240" w:lineRule="auto"/>
        <w:ind w:left="0" w:right="1693"/>
        <w:rPr>
          <w:rStyle w:val="Hyperlink"/>
          <w:color w:val="auto"/>
          <w:u w:val="none"/>
          <w:lang w:val="en-AU"/>
        </w:rPr>
      </w:pPr>
    </w:p>
    <w:p w14:paraId="56816C8D"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Pressekontakt:</w:t>
      </w:r>
    </w:p>
    <w:p w14:paraId="3E2E515D"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 Kirchmayr</w:t>
      </w:r>
    </w:p>
    <w:p w14:paraId="11F42518"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5E3FC80F"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T: +43.(0)50.486-1382</w:t>
      </w:r>
    </w:p>
    <w:p w14:paraId="4FEAC615"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 +43.(0)664.8187423</w:t>
      </w:r>
    </w:p>
    <w:p w14:paraId="7CBDFD46"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martin.kirchmayr@tgw-group.com</w:t>
      </w:r>
    </w:p>
    <w:p w14:paraId="1FAA6AFB" w14:textId="77777777" w:rsidR="00D1043D" w:rsidRPr="00D1043D" w:rsidRDefault="00D1043D" w:rsidP="00660132">
      <w:pPr>
        <w:spacing w:line="240" w:lineRule="auto"/>
        <w:ind w:left="0" w:right="1693"/>
        <w:rPr>
          <w:rStyle w:val="Hyperlink"/>
          <w:color w:val="auto"/>
          <w:u w:val="none"/>
          <w:lang w:val="en-AU"/>
        </w:rPr>
      </w:pPr>
    </w:p>
    <w:p w14:paraId="6710AB6F" w14:textId="77777777" w:rsidR="00885756" w:rsidRPr="00D1043D" w:rsidRDefault="00885756">
      <w:pPr>
        <w:spacing w:line="240" w:lineRule="auto"/>
        <w:ind w:left="0" w:right="1693"/>
        <w:rPr>
          <w:lang w:val="de-AT"/>
        </w:rPr>
      </w:pPr>
    </w:p>
    <w:sectPr w:rsidR="00885756" w:rsidRPr="00D1043D" w:rsidSect="00AF2210">
      <w:headerReference w:type="default" r:id="rId10"/>
      <w:footerReference w:type="default" r:id="rId11"/>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AE58" w14:textId="77777777" w:rsidR="00A345ED" w:rsidRDefault="00A345ED" w:rsidP="00764006">
      <w:pPr>
        <w:spacing w:line="240" w:lineRule="auto"/>
      </w:pPr>
      <w:r>
        <w:separator/>
      </w:r>
    </w:p>
  </w:endnote>
  <w:endnote w:type="continuationSeparator" w:id="0">
    <w:p w14:paraId="5EB3AE8C" w14:textId="77777777" w:rsidR="00A345ED" w:rsidRDefault="00A345E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7EBC24FD"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E19CC">
            <w:rPr>
              <w:noProof/>
              <w:sz w:val="16"/>
              <w:szCs w:val="16"/>
            </w:rPr>
            <w:t>1</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3E19CC">
            <w:rPr>
              <w:noProof/>
              <w:sz w:val="16"/>
              <w:szCs w:val="16"/>
            </w:rPr>
            <w:t>5</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F11B" w14:textId="77777777" w:rsidR="00A345ED" w:rsidRDefault="00A345ED" w:rsidP="00764006">
      <w:pPr>
        <w:spacing w:line="240" w:lineRule="auto"/>
      </w:pPr>
      <w:r>
        <w:separator/>
      </w:r>
    </w:p>
  </w:footnote>
  <w:footnote w:type="continuationSeparator" w:id="0">
    <w:p w14:paraId="6B7E3607" w14:textId="77777777" w:rsidR="00A345ED" w:rsidRDefault="00A345E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A345ED" w:rsidRDefault="00A345ED" w:rsidP="00C54F6A">
    <w:pPr>
      <w:pStyle w:val="Dokumententitel"/>
    </w:pPr>
  </w:p>
  <w:p w14:paraId="6614E224" w14:textId="130699BC"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362EF"/>
    <w:rsid w:val="00045C9C"/>
    <w:rsid w:val="00045F47"/>
    <w:rsid w:val="00047282"/>
    <w:rsid w:val="00086319"/>
    <w:rsid w:val="00092354"/>
    <w:rsid w:val="00095936"/>
    <w:rsid w:val="000A267E"/>
    <w:rsid w:val="000A33C6"/>
    <w:rsid w:val="000A6CE7"/>
    <w:rsid w:val="000A77BB"/>
    <w:rsid w:val="000B5A93"/>
    <w:rsid w:val="000B65C7"/>
    <w:rsid w:val="000C38EE"/>
    <w:rsid w:val="000D32EB"/>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65EB0"/>
    <w:rsid w:val="00183067"/>
    <w:rsid w:val="00185FCF"/>
    <w:rsid w:val="0019186D"/>
    <w:rsid w:val="00191D7D"/>
    <w:rsid w:val="00195BA1"/>
    <w:rsid w:val="001A6E46"/>
    <w:rsid w:val="001A743C"/>
    <w:rsid w:val="001A7904"/>
    <w:rsid w:val="001B450B"/>
    <w:rsid w:val="001B46E9"/>
    <w:rsid w:val="001B4929"/>
    <w:rsid w:val="001C1838"/>
    <w:rsid w:val="001C40DE"/>
    <w:rsid w:val="001D7887"/>
    <w:rsid w:val="001E6404"/>
    <w:rsid w:val="001F2A46"/>
    <w:rsid w:val="0020344F"/>
    <w:rsid w:val="00203677"/>
    <w:rsid w:val="00220DA8"/>
    <w:rsid w:val="00223EA8"/>
    <w:rsid w:val="0023663F"/>
    <w:rsid w:val="00245527"/>
    <w:rsid w:val="00250BA2"/>
    <w:rsid w:val="00262F29"/>
    <w:rsid w:val="0026487A"/>
    <w:rsid w:val="00265358"/>
    <w:rsid w:val="00273328"/>
    <w:rsid w:val="002820AB"/>
    <w:rsid w:val="002A1224"/>
    <w:rsid w:val="002A3009"/>
    <w:rsid w:val="002A564B"/>
    <w:rsid w:val="002C0149"/>
    <w:rsid w:val="002C0832"/>
    <w:rsid w:val="002C36E5"/>
    <w:rsid w:val="002C69C9"/>
    <w:rsid w:val="002D6158"/>
    <w:rsid w:val="003107A7"/>
    <w:rsid w:val="00310975"/>
    <w:rsid w:val="00314A98"/>
    <w:rsid w:val="00320511"/>
    <w:rsid w:val="00322CCA"/>
    <w:rsid w:val="003238A9"/>
    <w:rsid w:val="003327F2"/>
    <w:rsid w:val="00336D99"/>
    <w:rsid w:val="00345413"/>
    <w:rsid w:val="00353A88"/>
    <w:rsid w:val="00367F43"/>
    <w:rsid w:val="0037168C"/>
    <w:rsid w:val="00377F06"/>
    <w:rsid w:val="00382EDF"/>
    <w:rsid w:val="003856E8"/>
    <w:rsid w:val="00386B3D"/>
    <w:rsid w:val="003A1305"/>
    <w:rsid w:val="003A35D1"/>
    <w:rsid w:val="003A46B9"/>
    <w:rsid w:val="003A5CDA"/>
    <w:rsid w:val="003A6D30"/>
    <w:rsid w:val="003B2F92"/>
    <w:rsid w:val="003B47D3"/>
    <w:rsid w:val="003B509C"/>
    <w:rsid w:val="003B5271"/>
    <w:rsid w:val="003B7A94"/>
    <w:rsid w:val="003E19CC"/>
    <w:rsid w:val="003E3F4D"/>
    <w:rsid w:val="003E6164"/>
    <w:rsid w:val="003F5554"/>
    <w:rsid w:val="004022C2"/>
    <w:rsid w:val="00416095"/>
    <w:rsid w:val="00421BE2"/>
    <w:rsid w:val="004242C5"/>
    <w:rsid w:val="004265B6"/>
    <w:rsid w:val="004272DB"/>
    <w:rsid w:val="00427466"/>
    <w:rsid w:val="004277EE"/>
    <w:rsid w:val="00431015"/>
    <w:rsid w:val="0043387C"/>
    <w:rsid w:val="00451FDA"/>
    <w:rsid w:val="00456A9F"/>
    <w:rsid w:val="004610E8"/>
    <w:rsid w:val="00461EA5"/>
    <w:rsid w:val="00462574"/>
    <w:rsid w:val="00464F70"/>
    <w:rsid w:val="004713CE"/>
    <w:rsid w:val="004746BE"/>
    <w:rsid w:val="00475D53"/>
    <w:rsid w:val="0047613B"/>
    <w:rsid w:val="004832B0"/>
    <w:rsid w:val="00483405"/>
    <w:rsid w:val="004A3FD4"/>
    <w:rsid w:val="004B219C"/>
    <w:rsid w:val="004B3F79"/>
    <w:rsid w:val="004C74E5"/>
    <w:rsid w:val="004F6ECF"/>
    <w:rsid w:val="0050153C"/>
    <w:rsid w:val="005136AB"/>
    <w:rsid w:val="00523149"/>
    <w:rsid w:val="00534D59"/>
    <w:rsid w:val="00571727"/>
    <w:rsid w:val="00572ACA"/>
    <w:rsid w:val="00574AF2"/>
    <w:rsid w:val="0058443D"/>
    <w:rsid w:val="00585363"/>
    <w:rsid w:val="00594A70"/>
    <w:rsid w:val="00595F5F"/>
    <w:rsid w:val="005A42B3"/>
    <w:rsid w:val="005A4860"/>
    <w:rsid w:val="005B3F84"/>
    <w:rsid w:val="005B5337"/>
    <w:rsid w:val="005C52BE"/>
    <w:rsid w:val="005D0C18"/>
    <w:rsid w:val="005D56DA"/>
    <w:rsid w:val="005D71EC"/>
    <w:rsid w:val="005E2C94"/>
    <w:rsid w:val="005E5427"/>
    <w:rsid w:val="005F0CD7"/>
    <w:rsid w:val="005F1EA6"/>
    <w:rsid w:val="005F275F"/>
    <w:rsid w:val="005F366F"/>
    <w:rsid w:val="005F7BE5"/>
    <w:rsid w:val="00606EB8"/>
    <w:rsid w:val="00610D92"/>
    <w:rsid w:val="00614B22"/>
    <w:rsid w:val="006150A8"/>
    <w:rsid w:val="00617806"/>
    <w:rsid w:val="00623EDB"/>
    <w:rsid w:val="0062546A"/>
    <w:rsid w:val="00626565"/>
    <w:rsid w:val="006273C7"/>
    <w:rsid w:val="006437FF"/>
    <w:rsid w:val="00643CDE"/>
    <w:rsid w:val="00650DF4"/>
    <w:rsid w:val="00660132"/>
    <w:rsid w:val="00660B22"/>
    <w:rsid w:val="00664198"/>
    <w:rsid w:val="0067197F"/>
    <w:rsid w:val="0067659E"/>
    <w:rsid w:val="00676996"/>
    <w:rsid w:val="00677B13"/>
    <w:rsid w:val="006930D6"/>
    <w:rsid w:val="006955DC"/>
    <w:rsid w:val="006A109C"/>
    <w:rsid w:val="006B28AB"/>
    <w:rsid w:val="006B29B2"/>
    <w:rsid w:val="006B4E87"/>
    <w:rsid w:val="006B7887"/>
    <w:rsid w:val="006C2268"/>
    <w:rsid w:val="006C597B"/>
    <w:rsid w:val="006C79BB"/>
    <w:rsid w:val="006D240C"/>
    <w:rsid w:val="006D7ABD"/>
    <w:rsid w:val="006F0740"/>
    <w:rsid w:val="006F4F34"/>
    <w:rsid w:val="007003DA"/>
    <w:rsid w:val="007013F6"/>
    <w:rsid w:val="00704BFD"/>
    <w:rsid w:val="007058A0"/>
    <w:rsid w:val="0071184A"/>
    <w:rsid w:val="007159BA"/>
    <w:rsid w:val="00722C1F"/>
    <w:rsid w:val="0072360D"/>
    <w:rsid w:val="007303A5"/>
    <w:rsid w:val="007317B6"/>
    <w:rsid w:val="00733C81"/>
    <w:rsid w:val="007344D8"/>
    <w:rsid w:val="007379F1"/>
    <w:rsid w:val="00740CEB"/>
    <w:rsid w:val="00742585"/>
    <w:rsid w:val="00743B0E"/>
    <w:rsid w:val="007502BB"/>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C97"/>
    <w:rsid w:val="007B5E3F"/>
    <w:rsid w:val="007B630A"/>
    <w:rsid w:val="007C0613"/>
    <w:rsid w:val="007C1E1D"/>
    <w:rsid w:val="007C7364"/>
    <w:rsid w:val="007D08F3"/>
    <w:rsid w:val="007D0E42"/>
    <w:rsid w:val="007D148B"/>
    <w:rsid w:val="007D6ACE"/>
    <w:rsid w:val="007F2311"/>
    <w:rsid w:val="007F34B1"/>
    <w:rsid w:val="007F4E5E"/>
    <w:rsid w:val="007F4F96"/>
    <w:rsid w:val="007F6B43"/>
    <w:rsid w:val="00806F99"/>
    <w:rsid w:val="00807724"/>
    <w:rsid w:val="00812E4D"/>
    <w:rsid w:val="00837915"/>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27C2"/>
    <w:rsid w:val="008A6166"/>
    <w:rsid w:val="008A7772"/>
    <w:rsid w:val="008B0223"/>
    <w:rsid w:val="008B7DCA"/>
    <w:rsid w:val="008C1E4D"/>
    <w:rsid w:val="008C2429"/>
    <w:rsid w:val="008C5A1B"/>
    <w:rsid w:val="008C62E5"/>
    <w:rsid w:val="008C7CB8"/>
    <w:rsid w:val="008D06BE"/>
    <w:rsid w:val="008D1D93"/>
    <w:rsid w:val="008E7A6F"/>
    <w:rsid w:val="008F0F4D"/>
    <w:rsid w:val="008F2AC5"/>
    <w:rsid w:val="009006FC"/>
    <w:rsid w:val="00903DEA"/>
    <w:rsid w:val="0090593C"/>
    <w:rsid w:val="00914596"/>
    <w:rsid w:val="00920D0B"/>
    <w:rsid w:val="009242D9"/>
    <w:rsid w:val="009248C3"/>
    <w:rsid w:val="009275F8"/>
    <w:rsid w:val="009321FE"/>
    <w:rsid w:val="00940669"/>
    <w:rsid w:val="00963BEA"/>
    <w:rsid w:val="00965E18"/>
    <w:rsid w:val="00970363"/>
    <w:rsid w:val="009768AC"/>
    <w:rsid w:val="00981E8E"/>
    <w:rsid w:val="00986D52"/>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EA"/>
    <w:rsid w:val="00A510C0"/>
    <w:rsid w:val="00A575D3"/>
    <w:rsid w:val="00A63795"/>
    <w:rsid w:val="00A67E5B"/>
    <w:rsid w:val="00A72304"/>
    <w:rsid w:val="00A74806"/>
    <w:rsid w:val="00A874D1"/>
    <w:rsid w:val="00A97BFD"/>
    <w:rsid w:val="00AA055D"/>
    <w:rsid w:val="00AA52E5"/>
    <w:rsid w:val="00AA7624"/>
    <w:rsid w:val="00AB2EE2"/>
    <w:rsid w:val="00AC55E3"/>
    <w:rsid w:val="00AD3796"/>
    <w:rsid w:val="00AE188F"/>
    <w:rsid w:val="00AE2387"/>
    <w:rsid w:val="00AF2210"/>
    <w:rsid w:val="00AF330A"/>
    <w:rsid w:val="00B03B65"/>
    <w:rsid w:val="00B06010"/>
    <w:rsid w:val="00B1229D"/>
    <w:rsid w:val="00B23EE6"/>
    <w:rsid w:val="00B256B5"/>
    <w:rsid w:val="00B31125"/>
    <w:rsid w:val="00B41D07"/>
    <w:rsid w:val="00B4317D"/>
    <w:rsid w:val="00B46C58"/>
    <w:rsid w:val="00B4759A"/>
    <w:rsid w:val="00B64272"/>
    <w:rsid w:val="00B64531"/>
    <w:rsid w:val="00B74D4F"/>
    <w:rsid w:val="00B8155C"/>
    <w:rsid w:val="00B932A7"/>
    <w:rsid w:val="00B95BAE"/>
    <w:rsid w:val="00BA19C7"/>
    <w:rsid w:val="00BA3D94"/>
    <w:rsid w:val="00BB3138"/>
    <w:rsid w:val="00BB5C8B"/>
    <w:rsid w:val="00BB73BD"/>
    <w:rsid w:val="00BC12AE"/>
    <w:rsid w:val="00BC5D27"/>
    <w:rsid w:val="00BC67B9"/>
    <w:rsid w:val="00BD0890"/>
    <w:rsid w:val="00BD53E1"/>
    <w:rsid w:val="00BE05A5"/>
    <w:rsid w:val="00BE0EBD"/>
    <w:rsid w:val="00C00CE0"/>
    <w:rsid w:val="00C06703"/>
    <w:rsid w:val="00C07327"/>
    <w:rsid w:val="00C1252C"/>
    <w:rsid w:val="00C13257"/>
    <w:rsid w:val="00C167D5"/>
    <w:rsid w:val="00C17586"/>
    <w:rsid w:val="00C175D3"/>
    <w:rsid w:val="00C22048"/>
    <w:rsid w:val="00C22070"/>
    <w:rsid w:val="00C22962"/>
    <w:rsid w:val="00C25152"/>
    <w:rsid w:val="00C2672F"/>
    <w:rsid w:val="00C333F7"/>
    <w:rsid w:val="00C41621"/>
    <w:rsid w:val="00C424EA"/>
    <w:rsid w:val="00C427DF"/>
    <w:rsid w:val="00C442BE"/>
    <w:rsid w:val="00C54F6A"/>
    <w:rsid w:val="00C63A0D"/>
    <w:rsid w:val="00C65F60"/>
    <w:rsid w:val="00C668EB"/>
    <w:rsid w:val="00C83128"/>
    <w:rsid w:val="00C834F9"/>
    <w:rsid w:val="00C83DCC"/>
    <w:rsid w:val="00C843AC"/>
    <w:rsid w:val="00C84540"/>
    <w:rsid w:val="00C8748C"/>
    <w:rsid w:val="00CA4E1A"/>
    <w:rsid w:val="00CA5A78"/>
    <w:rsid w:val="00CA5C99"/>
    <w:rsid w:val="00CC797E"/>
    <w:rsid w:val="00CD6174"/>
    <w:rsid w:val="00CE5C9C"/>
    <w:rsid w:val="00CF2B23"/>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F5"/>
    <w:rsid w:val="00D77C93"/>
    <w:rsid w:val="00D85C8C"/>
    <w:rsid w:val="00D92EC2"/>
    <w:rsid w:val="00D94408"/>
    <w:rsid w:val="00D94CE5"/>
    <w:rsid w:val="00D94F09"/>
    <w:rsid w:val="00D97889"/>
    <w:rsid w:val="00D9788A"/>
    <w:rsid w:val="00DA12FF"/>
    <w:rsid w:val="00DA2DD2"/>
    <w:rsid w:val="00DA7496"/>
    <w:rsid w:val="00DB3994"/>
    <w:rsid w:val="00DB5508"/>
    <w:rsid w:val="00DC3412"/>
    <w:rsid w:val="00DC4071"/>
    <w:rsid w:val="00DC51F7"/>
    <w:rsid w:val="00DD36CD"/>
    <w:rsid w:val="00DD6BC9"/>
    <w:rsid w:val="00DE10C1"/>
    <w:rsid w:val="00DF270B"/>
    <w:rsid w:val="00DF36AC"/>
    <w:rsid w:val="00DF637D"/>
    <w:rsid w:val="00DF6D64"/>
    <w:rsid w:val="00E041E4"/>
    <w:rsid w:val="00E17AAB"/>
    <w:rsid w:val="00E21D57"/>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B4632"/>
    <w:rsid w:val="00EC09AC"/>
    <w:rsid w:val="00EC1320"/>
    <w:rsid w:val="00ED5843"/>
    <w:rsid w:val="00EF4501"/>
    <w:rsid w:val="00EF740E"/>
    <w:rsid w:val="00F04DCF"/>
    <w:rsid w:val="00F10C10"/>
    <w:rsid w:val="00F174AB"/>
    <w:rsid w:val="00F23093"/>
    <w:rsid w:val="00F27557"/>
    <w:rsid w:val="00F30444"/>
    <w:rsid w:val="00F35FAE"/>
    <w:rsid w:val="00F361BB"/>
    <w:rsid w:val="00F55627"/>
    <w:rsid w:val="00F56EB8"/>
    <w:rsid w:val="00F62FD0"/>
    <w:rsid w:val="00F82E3A"/>
    <w:rsid w:val="00F9169E"/>
    <w:rsid w:val="00F94D68"/>
    <w:rsid w:val="00FA6051"/>
    <w:rsid w:val="00FB0EAC"/>
    <w:rsid w:val="00FB29AE"/>
    <w:rsid w:val="00FC6563"/>
    <w:rsid w:val="00FD25D7"/>
    <w:rsid w:val="00FD66DC"/>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33CC-A1DC-461A-AF8C-11173BA7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7488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354</cp:revision>
  <cp:lastPrinted>2015-06-02T07:14:00Z</cp:lastPrinted>
  <dcterms:created xsi:type="dcterms:W3CDTF">2018-02-01T16:37:00Z</dcterms:created>
  <dcterms:modified xsi:type="dcterms:W3CDTF">2019-05-22T07:52:00Z</dcterms:modified>
</cp:coreProperties>
</file>