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4BB" w:rsidRPr="0060294F" w:rsidRDefault="007924BB" w:rsidP="00B131E1">
      <w:pPr>
        <w:ind w:right="1843"/>
        <w:jc w:val="both"/>
        <w:rPr>
          <w:rFonts w:cs="Arial"/>
          <w:b/>
          <w:sz w:val="28"/>
          <w:szCs w:val="28"/>
        </w:rPr>
      </w:pPr>
      <w:r>
        <w:rPr>
          <w:rFonts w:cs="Arial"/>
          <w:b/>
          <w:sz w:val="28"/>
          <w:szCs w:val="28"/>
        </w:rPr>
        <w:t>TGW realisiert erstes Mustang-</w:t>
      </w:r>
      <w:r w:rsidRPr="0060294F">
        <w:rPr>
          <w:rFonts w:cs="Arial"/>
          <w:b/>
          <w:sz w:val="28"/>
          <w:szCs w:val="28"/>
        </w:rPr>
        <w:t>Projekt in China</w:t>
      </w:r>
    </w:p>
    <w:p w:rsidR="007924BB" w:rsidRDefault="007924BB" w:rsidP="00B131E1">
      <w:pPr>
        <w:ind w:right="1843"/>
        <w:jc w:val="both"/>
        <w:rPr>
          <w:rFonts w:cs="Arial"/>
          <w:b/>
        </w:rPr>
      </w:pPr>
    </w:p>
    <w:p w:rsidR="007924BB" w:rsidRDefault="007924BB" w:rsidP="00B131E1">
      <w:pPr>
        <w:ind w:right="1843"/>
        <w:jc w:val="both"/>
        <w:rPr>
          <w:rFonts w:cs="Arial"/>
          <w:b/>
          <w:lang w:val="de-AT"/>
        </w:rPr>
      </w:pPr>
      <w:r w:rsidRPr="00016998">
        <w:rPr>
          <w:rFonts w:cs="Arial"/>
          <w:b/>
        </w:rPr>
        <w:t xml:space="preserve">Nur </w:t>
      </w:r>
      <w:r w:rsidR="00C34D17">
        <w:rPr>
          <w:rFonts w:cs="Arial"/>
          <w:b/>
        </w:rPr>
        <w:t>drei</w:t>
      </w:r>
      <w:r w:rsidRPr="00016998">
        <w:rPr>
          <w:rFonts w:cs="Arial"/>
          <w:b/>
        </w:rPr>
        <w:t xml:space="preserve"> Jahre nach Eröffnung der TGW-Produktionseinheit in </w:t>
      </w:r>
      <w:r w:rsidRPr="00016998">
        <w:rPr>
          <w:rFonts w:cs="Arial"/>
          <w:b/>
          <w:lang w:val="de-AT"/>
        </w:rPr>
        <w:t xml:space="preserve">China investiert der </w:t>
      </w:r>
      <w:r>
        <w:rPr>
          <w:rFonts w:cs="Arial"/>
          <w:b/>
          <w:lang w:val="de-AT"/>
        </w:rPr>
        <w:t>internationale</w:t>
      </w:r>
      <w:r w:rsidRPr="00016998">
        <w:rPr>
          <w:rFonts w:cs="Arial"/>
          <w:b/>
          <w:lang w:val="de-AT"/>
        </w:rPr>
        <w:t xml:space="preserve"> Automobilzulieferer </w:t>
      </w:r>
      <w:r>
        <w:rPr>
          <w:rFonts w:cs="Arial"/>
          <w:b/>
          <w:lang w:val="de-AT"/>
        </w:rPr>
        <w:t>HELLA</w:t>
      </w:r>
      <w:r w:rsidRPr="00016998">
        <w:rPr>
          <w:rFonts w:cs="Arial"/>
          <w:b/>
          <w:lang w:val="de-AT"/>
        </w:rPr>
        <w:t xml:space="preserve"> in ein automatisches Kleinte</w:t>
      </w:r>
      <w:r>
        <w:rPr>
          <w:rFonts w:cs="Arial"/>
          <w:b/>
          <w:lang w:val="de-AT"/>
        </w:rPr>
        <w:t>i</w:t>
      </w:r>
      <w:r w:rsidRPr="00016998">
        <w:rPr>
          <w:rFonts w:cs="Arial"/>
          <w:b/>
          <w:lang w:val="de-AT"/>
        </w:rPr>
        <w:t xml:space="preserve">lelager </w:t>
      </w:r>
      <w:r>
        <w:rPr>
          <w:rFonts w:cs="Arial"/>
          <w:b/>
          <w:lang w:val="de-AT"/>
        </w:rPr>
        <w:t>der TGW Logistics Group in der Metropole Shanghai.</w:t>
      </w:r>
    </w:p>
    <w:p w:rsidR="007924BB" w:rsidRPr="0060294F" w:rsidRDefault="007924BB" w:rsidP="00B131E1">
      <w:pPr>
        <w:ind w:right="1843"/>
        <w:jc w:val="both"/>
        <w:rPr>
          <w:rFonts w:cs="Arial"/>
          <w:b/>
          <w:lang w:val="de-AT"/>
        </w:rPr>
      </w:pPr>
    </w:p>
    <w:p w:rsidR="007924BB" w:rsidRPr="0060294F" w:rsidRDefault="007924BB" w:rsidP="00B131E1">
      <w:pPr>
        <w:ind w:right="1843"/>
        <w:jc w:val="both"/>
        <w:rPr>
          <w:rFonts w:cs="Arial"/>
          <w:lang w:val="de-AT"/>
        </w:rPr>
      </w:pPr>
      <w:r>
        <w:rPr>
          <w:rFonts w:cs="Arial"/>
          <w:lang w:val="de-AT"/>
        </w:rPr>
        <w:t>Das global aufgestellte Familienunternehmen HELLA</w:t>
      </w:r>
      <w:r w:rsidRPr="0060294F">
        <w:rPr>
          <w:rFonts w:cs="Arial"/>
          <w:lang w:val="de-AT"/>
        </w:rPr>
        <w:t xml:space="preserve"> ist auf innovative Lichtsysteme und Fahrzeugelektronik spezialisiert und als einer der Technologieführer seit mehr als hundert Jahren ein wichtiger Partner der Automobilindustrie und des </w:t>
      </w:r>
      <w:proofErr w:type="spellStart"/>
      <w:r w:rsidRPr="0060294F">
        <w:rPr>
          <w:rFonts w:cs="Arial"/>
          <w:lang w:val="de-AT"/>
        </w:rPr>
        <w:t>Aftermarkets</w:t>
      </w:r>
      <w:proofErr w:type="spellEnd"/>
      <w:r w:rsidRPr="0060294F">
        <w:rPr>
          <w:rFonts w:cs="Arial"/>
          <w:lang w:val="de-AT"/>
        </w:rPr>
        <w:t xml:space="preserve">. Um dem steten Wachstum des Unternehmens auch in Zukunft gerecht zu werden, musste HELLA sowohl seine Produktionskapazitäten als auch die Fertigungszeiten der Produkte neu kalkulieren. Daraus resultierte die Notwendigkeit eines Neubaus einer Intralogistikhalle. Dank der besten technischen Lösung und einer sehr guten Kommunikation konnte sich TGW gegen die starke Konkurrenz durchsetzen und HELLA letzten Endes überzeugen. </w:t>
      </w:r>
    </w:p>
    <w:p w:rsidR="007924BB" w:rsidRPr="0060294F" w:rsidRDefault="007924BB" w:rsidP="00B131E1">
      <w:pPr>
        <w:ind w:right="1843"/>
        <w:jc w:val="both"/>
        <w:rPr>
          <w:rFonts w:cs="Arial"/>
          <w:lang w:val="de-AT"/>
        </w:rPr>
      </w:pPr>
    </w:p>
    <w:p w:rsidR="007924BB" w:rsidRPr="0060294F" w:rsidRDefault="007924BB" w:rsidP="00B131E1">
      <w:pPr>
        <w:ind w:right="1843"/>
        <w:jc w:val="both"/>
        <w:rPr>
          <w:rFonts w:cs="Arial"/>
          <w:b/>
          <w:lang w:val="de-AT"/>
        </w:rPr>
      </w:pPr>
      <w:r>
        <w:rPr>
          <w:rFonts w:cs="Arial"/>
          <w:b/>
          <w:lang w:val="de-AT"/>
        </w:rPr>
        <w:t xml:space="preserve">Erstes TGW-Mustang </w:t>
      </w:r>
      <w:r w:rsidRPr="0060294F">
        <w:rPr>
          <w:rFonts w:cs="Arial"/>
          <w:b/>
          <w:lang w:val="de-AT"/>
        </w:rPr>
        <w:t xml:space="preserve">Projekt in China  </w:t>
      </w:r>
    </w:p>
    <w:p w:rsidR="007924BB" w:rsidRDefault="007924BB" w:rsidP="00B131E1">
      <w:pPr>
        <w:ind w:right="1843"/>
        <w:jc w:val="both"/>
        <w:rPr>
          <w:rFonts w:cs="Arial"/>
          <w:lang w:val="de-AT"/>
        </w:rPr>
      </w:pPr>
      <w:r w:rsidRPr="0060294F">
        <w:rPr>
          <w:rFonts w:cs="Arial"/>
          <w:lang w:val="de-AT"/>
        </w:rPr>
        <w:t>Die von TGW angebotene Lösung beinhaltet ein Kleinteilelager mit sechs Gassen und 120.000 Stellplätzen, die</w:t>
      </w:r>
      <w:r>
        <w:rPr>
          <w:rFonts w:cs="Arial"/>
          <w:lang w:val="de-AT"/>
        </w:rPr>
        <w:t xml:space="preserve"> ihrerseits von sechs Mustang </w:t>
      </w:r>
      <w:r w:rsidRPr="0060294F">
        <w:rPr>
          <w:rFonts w:cs="Arial"/>
          <w:lang w:val="de-AT"/>
        </w:rPr>
        <w:t>Regalbediengeräten versorgt werden. Durch die konsequente Leichtbauweise der TGW-Re</w:t>
      </w:r>
      <w:r w:rsidR="00B071E4">
        <w:rPr>
          <w:rFonts w:cs="Arial"/>
          <w:lang w:val="de-AT"/>
        </w:rPr>
        <w:t>galbediengeräte sowie den</w:t>
      </w:r>
      <w:r w:rsidRPr="0060294F">
        <w:rPr>
          <w:rFonts w:cs="Arial"/>
          <w:lang w:val="de-AT"/>
        </w:rPr>
        <w:t xml:space="preserve"> standardmäßigen Einsatz von Energierückspeisemodulen und einer energieverbrauchsorientierten Achssteuerung wird eine im Marktvergleich extrem hohe Energieeffizienz erreicht. Die flexible KingDrive®-Technologie fungiert als Förderanlage für den Neubau und als Verbindungsstück zwischen dem bestehenden und dem neuen Gebäude. </w:t>
      </w:r>
    </w:p>
    <w:p w:rsidR="007924BB" w:rsidRDefault="007924BB" w:rsidP="00B131E1">
      <w:pPr>
        <w:ind w:right="1843"/>
        <w:jc w:val="both"/>
        <w:rPr>
          <w:rFonts w:cs="Arial"/>
          <w:lang w:val="de-AT"/>
        </w:rPr>
      </w:pPr>
    </w:p>
    <w:p w:rsidR="007924BB" w:rsidRDefault="007924BB" w:rsidP="00B131E1">
      <w:pPr>
        <w:ind w:right="1843"/>
        <w:jc w:val="both"/>
        <w:rPr>
          <w:rFonts w:cs="Arial"/>
          <w:lang w:val="de-AT"/>
        </w:rPr>
      </w:pPr>
      <w:r w:rsidRPr="0060294F">
        <w:rPr>
          <w:rFonts w:cs="Arial"/>
          <w:lang w:val="de-AT"/>
        </w:rPr>
        <w:t>Das Kleinteilelager selbst wird mit sieb</w:t>
      </w:r>
      <w:r>
        <w:rPr>
          <w:rFonts w:cs="Arial"/>
          <w:lang w:val="de-AT"/>
        </w:rPr>
        <w:t xml:space="preserve">en Arbeitsplätzen ausgestattet. Zudem liefert </w:t>
      </w:r>
      <w:r w:rsidRPr="0060294F">
        <w:rPr>
          <w:rFonts w:cs="Arial"/>
          <w:lang w:val="de-AT"/>
        </w:rPr>
        <w:t xml:space="preserve">TGW das gesamte IT- und Steuerungssystem sowie die Lagersteuerung Warehouse Control System, die zukünftig die Echtzeitaktivitäten aller Ein-, Um- und Auslagerbewegungen im Lager verwaltet. </w:t>
      </w:r>
      <w:r>
        <w:rPr>
          <w:rFonts w:cs="Arial"/>
          <w:lang w:val="de-AT"/>
        </w:rPr>
        <w:t xml:space="preserve">„Dieser Auftrag stellt einen Meilenstein für TGW China dar. Mit der kompletten Lösung von TGW ist HELLA ein guter Referenz-Kunde und das Projekt überzeugt mit Sicherheit auch andere Interessenten“, erklärt </w:t>
      </w:r>
      <w:r w:rsidR="007A0D5E">
        <w:rPr>
          <w:rFonts w:cs="Arial"/>
          <w:lang w:val="de-AT"/>
        </w:rPr>
        <w:t xml:space="preserve">Frank Imkamp, Chief Executive Officer bei </w:t>
      </w:r>
      <w:r>
        <w:rPr>
          <w:rFonts w:cs="Arial"/>
          <w:lang w:val="de-AT"/>
        </w:rPr>
        <w:t xml:space="preserve">TGW China. </w:t>
      </w:r>
    </w:p>
    <w:p w:rsidR="007924BB" w:rsidRDefault="007924BB" w:rsidP="00B131E1">
      <w:pPr>
        <w:ind w:right="1843"/>
        <w:jc w:val="both"/>
        <w:rPr>
          <w:rFonts w:cs="Arial"/>
          <w:lang w:val="de-AT"/>
        </w:rPr>
      </w:pPr>
    </w:p>
    <w:p w:rsidR="007924BB" w:rsidRDefault="007924BB" w:rsidP="00B131E1">
      <w:pPr>
        <w:ind w:right="1843"/>
        <w:jc w:val="both"/>
        <w:rPr>
          <w:rFonts w:cs="Arial"/>
          <w:b/>
          <w:lang w:val="de-AT"/>
        </w:rPr>
      </w:pPr>
      <w:r>
        <w:rPr>
          <w:rFonts w:cs="Arial"/>
          <w:b/>
          <w:lang w:val="de-AT"/>
        </w:rPr>
        <w:t>Bestens ausgestattet für</w:t>
      </w:r>
      <w:r w:rsidRPr="0060294F">
        <w:rPr>
          <w:rFonts w:cs="Arial"/>
          <w:b/>
          <w:lang w:val="de-AT"/>
        </w:rPr>
        <w:t xml:space="preserve"> die Zukunft</w:t>
      </w:r>
    </w:p>
    <w:p w:rsidR="007924BB" w:rsidRDefault="007924BB" w:rsidP="00B131E1">
      <w:pPr>
        <w:ind w:right="1843"/>
        <w:jc w:val="both"/>
        <w:rPr>
          <w:rFonts w:cs="Arial"/>
          <w:lang w:val="de-AT"/>
        </w:rPr>
      </w:pPr>
      <w:r>
        <w:rPr>
          <w:rFonts w:cs="Arial"/>
          <w:lang w:val="de-AT"/>
        </w:rPr>
        <w:t xml:space="preserve">Mit dem neuen, intelligenten Steuerungssystem steigert HELLA die eigene Produktivität, verkürzt Lieferzeiten, verringert Fehlerquoten und erfüllt dadurch wichtige zukünftige Produktionsanforderungen. Zudem können in dem automatischen </w:t>
      </w:r>
      <w:r>
        <w:rPr>
          <w:rFonts w:cs="Arial"/>
          <w:lang w:val="de-AT"/>
        </w:rPr>
        <w:lastRenderedPageBreak/>
        <w:t>Kleinteilelager sowohl Rohmateri</w:t>
      </w:r>
      <w:r w:rsidR="005E7381">
        <w:rPr>
          <w:rFonts w:cs="Arial"/>
          <w:lang w:val="de-AT"/>
        </w:rPr>
        <w:t>alien für die Produktionslinien</w:t>
      </w:r>
      <w:r>
        <w:rPr>
          <w:rFonts w:cs="Arial"/>
          <w:lang w:val="de-AT"/>
        </w:rPr>
        <w:t xml:space="preserve"> als auch Fertigteile für die Auslieferung gelagert werden. Zeitgleich mit Beauftragung des Neubaus schloss HELLA einen Vertrag über ein komplettes Lifetime-Services-Paket ab. Das Paket beinhaltet ein vierköpfiges On-Site Technikerteam, welches die Anlage für die Dauer eines Jahres betreut, sowie ein Customer Service, das ebenfalls für ein Jahr geordert wurde. Im August 2018 fällt der Startschuss für Phase 1 von 2. </w:t>
      </w:r>
    </w:p>
    <w:p w:rsidR="007924BB" w:rsidRDefault="007924BB" w:rsidP="00B131E1">
      <w:pPr>
        <w:ind w:right="1843"/>
        <w:jc w:val="both"/>
        <w:rPr>
          <w:rFonts w:cs="Arial"/>
          <w:lang w:val="de-AT"/>
        </w:rPr>
      </w:pPr>
    </w:p>
    <w:p w:rsidR="007924BB" w:rsidRPr="003D65BE" w:rsidRDefault="007924BB" w:rsidP="00B131E1">
      <w:pPr>
        <w:ind w:right="1843"/>
        <w:jc w:val="both"/>
        <w:rPr>
          <w:rFonts w:cs="Arial"/>
          <w:lang w:val="de-AT"/>
        </w:rPr>
      </w:pPr>
      <w:r>
        <w:rPr>
          <w:rFonts w:cs="Arial"/>
          <w:lang w:val="de-AT"/>
        </w:rPr>
        <w:t xml:space="preserve">„Wir haben uns bei diesem strategisch wichtigen Projekt dank unserer hervorragenden Lösung gegen die starke Konkurrenz durchgesetzt. HELLA erkannte den Mehrwert und die Zukunftstauglichkeit unserer Produkte und hat mit dem TGW-Mustang auf das richtige Pferd gesetzt“, betont </w:t>
      </w:r>
      <w:r w:rsidR="00F52AA9">
        <w:rPr>
          <w:rFonts w:cs="Arial"/>
          <w:lang w:val="de-AT"/>
        </w:rPr>
        <w:t>Imkamp.</w:t>
      </w:r>
    </w:p>
    <w:p w:rsidR="007924BB" w:rsidRDefault="007924BB" w:rsidP="00B131E1">
      <w:pPr>
        <w:ind w:right="1843"/>
        <w:jc w:val="both"/>
        <w:rPr>
          <w:rFonts w:cs="Arial"/>
          <w:lang w:val="de-AT"/>
        </w:rPr>
      </w:pPr>
    </w:p>
    <w:p w:rsidR="00945C49" w:rsidRPr="007F02AB" w:rsidRDefault="00C718B9" w:rsidP="00B131E1">
      <w:pPr>
        <w:spacing w:before="240" w:after="120"/>
        <w:ind w:right="1843"/>
        <w:jc w:val="both"/>
      </w:pPr>
      <w:hyperlink r:id="rId7" w:history="1">
        <w:r w:rsidR="00945C49" w:rsidRPr="007F02AB">
          <w:rPr>
            <w:rStyle w:val="Hyperlink"/>
          </w:rPr>
          <w:t>www.tgw-group.com</w:t>
        </w:r>
      </w:hyperlink>
      <w:r w:rsidR="00945C49" w:rsidRPr="007F02AB">
        <w:t xml:space="preserve"> </w:t>
      </w:r>
    </w:p>
    <w:p w:rsidR="00B131E1" w:rsidRDefault="00B131E1" w:rsidP="00B131E1">
      <w:pPr>
        <w:spacing w:before="240" w:after="120"/>
        <w:ind w:right="1843"/>
        <w:jc w:val="both"/>
        <w:rPr>
          <w:b/>
        </w:rPr>
      </w:pPr>
    </w:p>
    <w:p w:rsidR="00B131E1" w:rsidRDefault="00B131E1" w:rsidP="00B131E1">
      <w:pPr>
        <w:spacing w:before="240" w:after="120"/>
        <w:ind w:right="1843"/>
        <w:jc w:val="both"/>
        <w:rPr>
          <w:b/>
        </w:rPr>
      </w:pPr>
    </w:p>
    <w:p w:rsidR="00945C49" w:rsidRPr="00C26B8D" w:rsidRDefault="00945C49" w:rsidP="00B131E1">
      <w:pPr>
        <w:spacing w:before="240" w:after="120"/>
        <w:ind w:right="1843"/>
        <w:jc w:val="both"/>
        <w:rPr>
          <w:b/>
        </w:rPr>
      </w:pPr>
      <w:r w:rsidRPr="00C26B8D">
        <w:rPr>
          <w:b/>
        </w:rPr>
        <w:t>Über die TGW Logistics Group:</w:t>
      </w:r>
    </w:p>
    <w:p w:rsidR="00945C49" w:rsidRPr="00B414C3" w:rsidRDefault="00945C49" w:rsidP="00B131E1">
      <w:pPr>
        <w:spacing w:before="240" w:after="120"/>
        <w:ind w:right="1843"/>
        <w:jc w:val="both"/>
      </w:pPr>
      <w:r w:rsidRPr="00B414C3">
        <w:t xml:space="preserve">Die TGW Logistics Group ist ein weltweit führender Systemanbieter von hochdynamischen, automatisierten und schlüsselfertigen Logistiklösungen. Seit 1969 realisiert das Unternehmen unterschiedlichste innerbetriebliche Logistiklösungen, von kleinen Fördertechnik-Anwendungen bis zu komplexen Logistikzentren. </w:t>
      </w:r>
    </w:p>
    <w:p w:rsidR="00945C49" w:rsidRPr="00B414C3" w:rsidRDefault="00945C49" w:rsidP="00B131E1">
      <w:pPr>
        <w:spacing w:before="240" w:after="120"/>
        <w:ind w:right="1843"/>
        <w:jc w:val="both"/>
      </w:pPr>
      <w:r>
        <w:t xml:space="preserve">Mit rund </w:t>
      </w:r>
      <w:r w:rsidR="004425DD">
        <w:t>3.000</w:t>
      </w:r>
      <w:r w:rsidRPr="00B414C3">
        <w:t xml:space="preserve"> Mitarbeitern weltweit realisiert die Gruppe Logistiklösungen für führende Unternehmen in verschiedensten Branchen. Dadurch erzielte die TGW Logisti</w:t>
      </w:r>
      <w:r>
        <w:t>cs Group im Wirtschaftsjahr 2016/17</w:t>
      </w:r>
      <w:r w:rsidRPr="00B414C3">
        <w:t xml:space="preserve"> Umsatzerlöse vo</w:t>
      </w:r>
      <w:r>
        <w:t>n 621</w:t>
      </w:r>
      <w:r w:rsidRPr="00B414C3">
        <w:t xml:space="preserve"> Mio. €.</w:t>
      </w:r>
    </w:p>
    <w:p w:rsidR="00945C49" w:rsidRPr="00B414C3" w:rsidRDefault="00945C49" w:rsidP="00B131E1">
      <w:pPr>
        <w:spacing w:before="240" w:after="120"/>
        <w:ind w:right="1843"/>
        <w:jc w:val="both"/>
        <w:rPr>
          <w:b/>
        </w:rPr>
      </w:pPr>
      <w:r w:rsidRPr="00B414C3">
        <w:rPr>
          <w:b/>
        </w:rPr>
        <w:t>Bilder:</w:t>
      </w:r>
    </w:p>
    <w:p w:rsidR="00945C49" w:rsidRPr="00B414C3" w:rsidRDefault="00945C49" w:rsidP="00B131E1">
      <w:pPr>
        <w:spacing w:before="240" w:after="120"/>
        <w:ind w:right="1843"/>
        <w:jc w:val="both"/>
      </w:pPr>
      <w:r w:rsidRPr="00B414C3">
        <w:t>Abdruck mit Quellangabe und zu Presseberichten, die sich vorwiegend mit der TGW Logistics Group GmbH befassen, honorarfrei. Kein honorarfreier Abdruck für werbliche Zwecke.</w:t>
      </w:r>
    </w:p>
    <w:p w:rsidR="00795157" w:rsidRDefault="00795157" w:rsidP="00B131E1">
      <w:pPr>
        <w:spacing w:line="240" w:lineRule="auto"/>
        <w:ind w:right="1843"/>
        <w:jc w:val="both"/>
        <w:rPr>
          <w:b/>
        </w:rPr>
      </w:pPr>
    </w:p>
    <w:p w:rsidR="00945C49" w:rsidRPr="00B414C3" w:rsidRDefault="00945C49" w:rsidP="00B131E1">
      <w:pPr>
        <w:spacing w:line="240" w:lineRule="auto"/>
        <w:ind w:right="1843"/>
        <w:jc w:val="both"/>
        <w:rPr>
          <w:b/>
        </w:rPr>
      </w:pPr>
      <w:r w:rsidRPr="00B414C3">
        <w:rPr>
          <w:b/>
        </w:rPr>
        <w:t>Kontakt:</w:t>
      </w:r>
    </w:p>
    <w:p w:rsidR="00945C49" w:rsidRPr="00B414C3" w:rsidRDefault="00945C49" w:rsidP="00B131E1">
      <w:pPr>
        <w:spacing w:line="240" w:lineRule="auto"/>
        <w:ind w:right="1843"/>
        <w:jc w:val="both"/>
      </w:pPr>
      <w:r w:rsidRPr="00B414C3">
        <w:t>TGW Logistics Group GmbH</w:t>
      </w:r>
    </w:p>
    <w:p w:rsidR="00945C49" w:rsidRPr="00B414C3" w:rsidRDefault="00945C49" w:rsidP="00B131E1">
      <w:pPr>
        <w:spacing w:line="240" w:lineRule="auto"/>
        <w:ind w:right="1843"/>
        <w:jc w:val="both"/>
      </w:pPr>
      <w:r w:rsidRPr="00B414C3">
        <w:t>A-4600 Wels, Collmannstraße 2</w:t>
      </w:r>
    </w:p>
    <w:p w:rsidR="00945C49" w:rsidRPr="00B414C3" w:rsidRDefault="00945C49" w:rsidP="00B131E1">
      <w:pPr>
        <w:spacing w:line="240" w:lineRule="auto"/>
        <w:ind w:right="1843"/>
        <w:jc w:val="both"/>
      </w:pPr>
      <w:r w:rsidRPr="00B414C3">
        <w:t>T: +43.(0)7242.486-0</w:t>
      </w:r>
    </w:p>
    <w:p w:rsidR="00945C49" w:rsidRPr="00B414C3" w:rsidRDefault="00945C49" w:rsidP="00B131E1">
      <w:pPr>
        <w:spacing w:line="240" w:lineRule="auto"/>
        <w:ind w:right="1843"/>
        <w:jc w:val="both"/>
      </w:pPr>
      <w:r w:rsidRPr="00B414C3">
        <w:t>F: +43.(0)7242.486-31</w:t>
      </w:r>
    </w:p>
    <w:p w:rsidR="00945C49" w:rsidRDefault="00945C49" w:rsidP="00B131E1">
      <w:pPr>
        <w:spacing w:line="240" w:lineRule="auto"/>
        <w:ind w:right="1843"/>
        <w:jc w:val="both"/>
      </w:pPr>
      <w:r w:rsidRPr="00B414C3">
        <w:t>E-Mail: tgw@tgw-group.com</w:t>
      </w:r>
      <w:r w:rsidRPr="00B414C3">
        <w:tab/>
      </w:r>
      <w:bookmarkStart w:id="0" w:name="_GoBack"/>
      <w:bookmarkEnd w:id="0"/>
    </w:p>
    <w:p w:rsidR="00945C49" w:rsidRPr="00B414C3" w:rsidRDefault="00945C49" w:rsidP="00B131E1">
      <w:pPr>
        <w:spacing w:line="240" w:lineRule="auto"/>
        <w:ind w:right="1843"/>
        <w:jc w:val="both"/>
      </w:pPr>
    </w:p>
    <w:p w:rsidR="00945C49" w:rsidRPr="00B414C3" w:rsidRDefault="00945C49" w:rsidP="00B131E1">
      <w:pPr>
        <w:spacing w:line="240" w:lineRule="auto"/>
        <w:ind w:right="1843"/>
        <w:jc w:val="both"/>
        <w:rPr>
          <w:b/>
        </w:rPr>
      </w:pPr>
      <w:r w:rsidRPr="00B414C3">
        <w:rPr>
          <w:b/>
        </w:rPr>
        <w:t>Pressekontakt:</w:t>
      </w:r>
    </w:p>
    <w:p w:rsidR="00945C49" w:rsidRPr="00B414C3" w:rsidRDefault="00945C49" w:rsidP="00B131E1">
      <w:pPr>
        <w:spacing w:line="240" w:lineRule="auto"/>
        <w:ind w:right="1843"/>
        <w:jc w:val="both"/>
      </w:pPr>
      <w:r>
        <w:t>Martin Kirchmayr</w:t>
      </w:r>
    </w:p>
    <w:p w:rsidR="00945C49" w:rsidRPr="00E85656" w:rsidRDefault="00945C49" w:rsidP="00B131E1">
      <w:pPr>
        <w:spacing w:line="240" w:lineRule="auto"/>
        <w:ind w:right="1843"/>
        <w:jc w:val="both"/>
      </w:pPr>
      <w:r w:rsidRPr="00E85656">
        <w:t>Marketing &amp; Communication Manager</w:t>
      </w:r>
    </w:p>
    <w:p w:rsidR="00945C49" w:rsidRPr="00B414C3" w:rsidRDefault="00945C49" w:rsidP="00B131E1">
      <w:pPr>
        <w:spacing w:line="240" w:lineRule="auto"/>
        <w:ind w:right="1843"/>
        <w:jc w:val="both"/>
      </w:pPr>
      <w:r>
        <w:t>T: +43.(0)7242.486-1382</w:t>
      </w:r>
    </w:p>
    <w:p w:rsidR="00945C49" w:rsidRPr="00B414C3" w:rsidRDefault="00945C49" w:rsidP="00B131E1">
      <w:pPr>
        <w:spacing w:line="240" w:lineRule="auto"/>
        <w:ind w:right="1843"/>
        <w:jc w:val="both"/>
      </w:pPr>
      <w:r w:rsidRPr="00B414C3">
        <w:t>M: +43.(0)664.8187423</w:t>
      </w:r>
    </w:p>
    <w:p w:rsidR="007924BB" w:rsidRDefault="00AE1333" w:rsidP="00B131E1">
      <w:pPr>
        <w:spacing w:line="240" w:lineRule="auto"/>
        <w:ind w:right="1843"/>
        <w:jc w:val="both"/>
      </w:pPr>
      <w:r w:rsidRPr="00AE1333">
        <w:t>martin.kirchmayr@tgw-group.com</w:t>
      </w:r>
    </w:p>
    <w:p w:rsidR="00AE1333" w:rsidRDefault="00AE1333" w:rsidP="00B131E1">
      <w:pPr>
        <w:spacing w:line="240" w:lineRule="auto"/>
        <w:ind w:right="1843"/>
        <w:jc w:val="both"/>
      </w:pPr>
    </w:p>
    <w:p w:rsidR="00CC673F" w:rsidRDefault="00CC673F" w:rsidP="00B131E1">
      <w:pPr>
        <w:spacing w:line="240" w:lineRule="auto"/>
        <w:ind w:right="1843"/>
        <w:jc w:val="both"/>
      </w:pPr>
    </w:p>
    <w:p w:rsidR="00AE1333" w:rsidRDefault="00AE1333" w:rsidP="00AE1333">
      <w:pPr>
        <w:spacing w:line="240" w:lineRule="auto"/>
        <w:ind w:right="1843"/>
        <w:rPr>
          <w:rFonts w:cs="Arial"/>
          <w:szCs w:val="20"/>
        </w:rPr>
      </w:pPr>
      <w:r>
        <w:rPr>
          <w:rFonts w:cs="Arial"/>
          <w:szCs w:val="20"/>
        </w:rPr>
        <w:t>Alexander Tahedl</w:t>
      </w:r>
    </w:p>
    <w:p w:rsidR="00AE1333" w:rsidRDefault="00AE1333" w:rsidP="00AE1333">
      <w:pPr>
        <w:spacing w:line="240" w:lineRule="auto"/>
        <w:ind w:right="1843"/>
        <w:rPr>
          <w:rFonts w:cs="Arial"/>
          <w:szCs w:val="20"/>
        </w:rPr>
      </w:pPr>
      <w:r>
        <w:rPr>
          <w:rFonts w:cs="Arial"/>
          <w:szCs w:val="20"/>
        </w:rPr>
        <w:t>Marketing Specialist</w:t>
      </w:r>
    </w:p>
    <w:p w:rsidR="00AE1333" w:rsidRPr="00971FF4" w:rsidRDefault="00AE1333" w:rsidP="00AE1333">
      <w:pPr>
        <w:spacing w:line="240" w:lineRule="auto"/>
        <w:ind w:right="1843"/>
        <w:rPr>
          <w:rFonts w:cs="Arial"/>
          <w:szCs w:val="20"/>
        </w:rPr>
      </w:pPr>
      <w:r>
        <w:rPr>
          <w:rFonts w:cs="Arial"/>
          <w:szCs w:val="20"/>
        </w:rPr>
        <w:t>T: +43.(0)7242.486-2267</w:t>
      </w:r>
    </w:p>
    <w:p w:rsidR="00AE1333" w:rsidRPr="00971FF4" w:rsidRDefault="00AE1333" w:rsidP="00AE1333">
      <w:pPr>
        <w:spacing w:line="240" w:lineRule="auto"/>
        <w:ind w:right="1843"/>
        <w:rPr>
          <w:rFonts w:cs="Arial"/>
          <w:szCs w:val="20"/>
        </w:rPr>
      </w:pPr>
      <w:r>
        <w:rPr>
          <w:rFonts w:cs="Arial"/>
          <w:szCs w:val="20"/>
        </w:rPr>
        <w:t>alexander.tahedl@tgw-group.com</w:t>
      </w:r>
    </w:p>
    <w:p w:rsidR="00AE1333" w:rsidRPr="00F35FAE" w:rsidRDefault="00AE1333" w:rsidP="00AE1333">
      <w:pPr>
        <w:ind w:right="1843"/>
      </w:pPr>
    </w:p>
    <w:p w:rsidR="00AE1333" w:rsidRPr="00D0493A" w:rsidRDefault="00AE1333" w:rsidP="00B131E1">
      <w:pPr>
        <w:spacing w:line="240" w:lineRule="auto"/>
        <w:ind w:right="1843"/>
        <w:jc w:val="both"/>
      </w:pPr>
    </w:p>
    <w:sectPr w:rsidR="00AE1333" w:rsidRPr="00D0493A" w:rsidSect="00193DF6">
      <w:headerReference w:type="default" r:id="rId8"/>
      <w:footerReference w:type="default" r:id="rId9"/>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D94" w:rsidRDefault="00BF2D94" w:rsidP="00764006">
      <w:pPr>
        <w:spacing w:line="240" w:lineRule="auto"/>
      </w:pPr>
      <w:r>
        <w:separator/>
      </w:r>
    </w:p>
  </w:endnote>
  <w:endnote w:type="continuationSeparator" w:id="0">
    <w:p w:rsidR="00BF2D94" w:rsidRDefault="00BF2D94"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ZShuTi">
    <w:altName w:val="方正舒体"/>
    <w:charset w:val="86"/>
    <w:family w:val="auto"/>
    <w:pitch w:val="variable"/>
    <w:sig w:usb0="00000003"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D0E42" w:rsidRPr="00252CD7" w:rsidTr="00C15D91">
      <w:tc>
        <w:tcPr>
          <w:tcW w:w="6474" w:type="dxa"/>
        </w:tcPr>
        <w:p w:rsidR="007D0E42" w:rsidRPr="00252CD7" w:rsidRDefault="00252CD7" w:rsidP="00252CD7">
          <w:pPr>
            <w:pStyle w:val="FuzeileAdresse"/>
            <w:jc w:val="left"/>
            <w:rPr>
              <w:sz w:val="16"/>
            </w:rPr>
          </w:pPr>
          <w:r>
            <w:rPr>
              <w:sz w:val="16"/>
            </w:rPr>
            <w:t>TGW Logistics Group</w:t>
          </w:r>
          <w:r w:rsidR="00ED3142">
            <w:rPr>
              <w:sz w:val="16"/>
            </w:rPr>
            <w:t xml:space="preserve"> GmbH</w:t>
          </w:r>
        </w:p>
      </w:tc>
      <w:tc>
        <w:tcPr>
          <w:tcW w:w="283" w:type="dxa"/>
          <w:tcBorders>
            <w:right w:val="single" w:sz="12" w:space="0" w:color="C00418" w:themeColor="accent1"/>
          </w:tcBorders>
        </w:tcPr>
        <w:p w:rsidR="007D0E42" w:rsidRPr="00252CD7" w:rsidRDefault="007D0E42" w:rsidP="007D0E42">
          <w:pPr>
            <w:pStyle w:val="Fuzeile"/>
            <w:rPr>
              <w:sz w:val="16"/>
            </w:rPr>
          </w:pPr>
        </w:p>
      </w:tc>
      <w:tc>
        <w:tcPr>
          <w:tcW w:w="283" w:type="dxa"/>
          <w:tcBorders>
            <w:left w:val="single" w:sz="12" w:space="0" w:color="C00418" w:themeColor="accent1"/>
          </w:tcBorders>
        </w:tcPr>
        <w:p w:rsidR="007D0E42" w:rsidRPr="00252CD7" w:rsidRDefault="007D0E42" w:rsidP="007D0E42">
          <w:pPr>
            <w:pStyle w:val="Fuzeile"/>
            <w:rPr>
              <w:sz w:val="16"/>
            </w:rPr>
          </w:pPr>
        </w:p>
      </w:tc>
      <w:tc>
        <w:tcPr>
          <w:tcW w:w="2438" w:type="dxa"/>
          <w:vAlign w:val="center"/>
        </w:tcPr>
        <w:p w:rsidR="007D0E42" w:rsidRPr="00252CD7" w:rsidRDefault="00C15D91" w:rsidP="00252CD7">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C718B9">
            <w:rPr>
              <w:noProof/>
              <w:sz w:val="16"/>
            </w:rPr>
            <w:t>3</w:t>
          </w:r>
          <w:r w:rsidRPr="00252CD7">
            <w:rPr>
              <w:sz w:val="16"/>
            </w:rPr>
            <w:fldChar w:fldCharType="end"/>
          </w:r>
          <w:r w:rsidRPr="00252CD7">
            <w:rPr>
              <w:sz w:val="16"/>
            </w:rPr>
            <w:t xml:space="preserve"> </w:t>
          </w:r>
          <w:r w:rsidR="00252CD7" w:rsidRPr="00252CD7">
            <w:rPr>
              <w:sz w:val="16"/>
            </w:rPr>
            <w:t>/</w:t>
          </w:r>
          <w:r w:rsidRPr="00252CD7">
            <w:rPr>
              <w:sz w:val="16"/>
            </w:rPr>
            <w:t xml:space="preserve"> </w:t>
          </w:r>
          <w:r w:rsidR="00252CD7" w:rsidRPr="00252CD7">
            <w:rPr>
              <w:sz w:val="16"/>
            </w:rPr>
            <w:fldChar w:fldCharType="begin"/>
          </w:r>
          <w:r w:rsidR="00252CD7" w:rsidRPr="00252CD7">
            <w:rPr>
              <w:sz w:val="16"/>
            </w:rPr>
            <w:instrText xml:space="preserve"> NUMPAGES   \* MERGEFORMAT </w:instrText>
          </w:r>
          <w:r w:rsidR="00252CD7" w:rsidRPr="00252CD7">
            <w:rPr>
              <w:sz w:val="16"/>
            </w:rPr>
            <w:fldChar w:fldCharType="separate"/>
          </w:r>
          <w:r w:rsidR="00C718B9">
            <w:rPr>
              <w:noProof/>
              <w:sz w:val="16"/>
            </w:rPr>
            <w:t>3</w:t>
          </w:r>
          <w:r w:rsidR="00252CD7" w:rsidRPr="00252CD7">
            <w:rPr>
              <w:noProof/>
              <w:sz w:val="16"/>
            </w:rPr>
            <w:fldChar w:fldCharType="end"/>
          </w:r>
        </w:p>
      </w:tc>
    </w:tr>
  </w:tbl>
  <w:p w:rsidR="00764006" w:rsidRDefault="0076400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D94" w:rsidRDefault="00BF2D94" w:rsidP="00764006">
      <w:pPr>
        <w:spacing w:line="240" w:lineRule="auto"/>
      </w:pPr>
      <w:r>
        <w:separator/>
      </w:r>
    </w:p>
  </w:footnote>
  <w:footnote w:type="continuationSeparator" w:id="0">
    <w:p w:rsidR="00BF2D94" w:rsidRDefault="00BF2D94"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448" w:rsidRDefault="003A2448" w:rsidP="00764006">
    <w:pPr>
      <w:pStyle w:val="Kopfzeile"/>
      <w:jc w:val="right"/>
    </w:pPr>
    <w:r>
      <w:br/>
    </w:r>
  </w:p>
  <w:p w:rsidR="00764006" w:rsidRPr="00C15D91" w:rsidRDefault="00764006" w:rsidP="00C00CC7">
    <w:pPr>
      <w:pStyle w:val="Dokumententitel"/>
    </w:pPr>
    <w:r w:rsidRPr="00C00CC7">
      <w:rPr>
        <w:lang w:val="de-AT" w:eastAsia="de-AT"/>
      </w:rPr>
      <w:drawing>
        <wp:anchor distT="0" distB="0" distL="114300" distR="114300" simplePos="0" relativeHeight="251657216" behindDoc="0" locked="0" layoutInCell="1" allowOverlap="1" wp14:anchorId="302BC7A7" wp14:editId="1A972C69">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7924BB">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AB72D70"/>
    <w:multiLevelType w:val="hybridMultilevel"/>
    <w:tmpl w:val="5CBE4322"/>
    <w:lvl w:ilvl="0" w:tplc="047C4AC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7D742948"/>
    <w:multiLevelType w:val="multilevel"/>
    <w:tmpl w:val="EA1E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4"/>
    <w:lvlOverride w:ilvl="0">
      <w:startOverride w:val="1"/>
    </w:lvlOverride>
  </w:num>
  <w:num w:numId="3">
    <w:abstractNumId w:val="3"/>
  </w:num>
  <w:num w:numId="4">
    <w:abstractNumId w:val="5"/>
  </w:num>
  <w:num w:numId="5">
    <w:abstractNumId w:val="2"/>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47160"/>
    <w:rsid w:val="000733D8"/>
    <w:rsid w:val="00097CF1"/>
    <w:rsid w:val="000A490F"/>
    <w:rsid w:val="000B3582"/>
    <w:rsid w:val="000C4928"/>
    <w:rsid w:val="000C6571"/>
    <w:rsid w:val="000D418A"/>
    <w:rsid w:val="000F504C"/>
    <w:rsid w:val="000F7D85"/>
    <w:rsid w:val="00102B91"/>
    <w:rsid w:val="00104161"/>
    <w:rsid w:val="00121BAA"/>
    <w:rsid w:val="00137F10"/>
    <w:rsid w:val="001535AA"/>
    <w:rsid w:val="001603D9"/>
    <w:rsid w:val="0017018E"/>
    <w:rsid w:val="00183096"/>
    <w:rsid w:val="00185494"/>
    <w:rsid w:val="00186863"/>
    <w:rsid w:val="00193DF6"/>
    <w:rsid w:val="001D081E"/>
    <w:rsid w:val="001E7058"/>
    <w:rsid w:val="00205305"/>
    <w:rsid w:val="00222B47"/>
    <w:rsid w:val="00230B9B"/>
    <w:rsid w:val="00232D4C"/>
    <w:rsid w:val="00252CD7"/>
    <w:rsid w:val="0026487A"/>
    <w:rsid w:val="00271FCA"/>
    <w:rsid w:val="002927D6"/>
    <w:rsid w:val="00292EE3"/>
    <w:rsid w:val="002A0E13"/>
    <w:rsid w:val="002A1A76"/>
    <w:rsid w:val="002D2FAC"/>
    <w:rsid w:val="003572A1"/>
    <w:rsid w:val="003727BE"/>
    <w:rsid w:val="003A0D66"/>
    <w:rsid w:val="003A2448"/>
    <w:rsid w:val="003B2FFD"/>
    <w:rsid w:val="003C2BA6"/>
    <w:rsid w:val="003C54B5"/>
    <w:rsid w:val="004425DD"/>
    <w:rsid w:val="00450B34"/>
    <w:rsid w:val="00463E57"/>
    <w:rsid w:val="00470B0F"/>
    <w:rsid w:val="00526B8E"/>
    <w:rsid w:val="005278C0"/>
    <w:rsid w:val="0054502C"/>
    <w:rsid w:val="00551E0F"/>
    <w:rsid w:val="00552AEB"/>
    <w:rsid w:val="00557966"/>
    <w:rsid w:val="00584A09"/>
    <w:rsid w:val="005A33A9"/>
    <w:rsid w:val="005A382F"/>
    <w:rsid w:val="005C5590"/>
    <w:rsid w:val="005E7381"/>
    <w:rsid w:val="005F1FCA"/>
    <w:rsid w:val="006036F9"/>
    <w:rsid w:val="006118EE"/>
    <w:rsid w:val="006225BA"/>
    <w:rsid w:val="006733D4"/>
    <w:rsid w:val="0068351C"/>
    <w:rsid w:val="00697486"/>
    <w:rsid w:val="006F23E3"/>
    <w:rsid w:val="007271B1"/>
    <w:rsid w:val="007502BB"/>
    <w:rsid w:val="00756BDA"/>
    <w:rsid w:val="00764006"/>
    <w:rsid w:val="00776416"/>
    <w:rsid w:val="00784714"/>
    <w:rsid w:val="007924BB"/>
    <w:rsid w:val="00795157"/>
    <w:rsid w:val="007A0D5E"/>
    <w:rsid w:val="007A7C45"/>
    <w:rsid w:val="007B2627"/>
    <w:rsid w:val="007B5207"/>
    <w:rsid w:val="007C60FC"/>
    <w:rsid w:val="007D0E42"/>
    <w:rsid w:val="007F591B"/>
    <w:rsid w:val="00820B46"/>
    <w:rsid w:val="00851B40"/>
    <w:rsid w:val="00864DE9"/>
    <w:rsid w:val="00865F37"/>
    <w:rsid w:val="00882506"/>
    <w:rsid w:val="008A2ECC"/>
    <w:rsid w:val="008C3E23"/>
    <w:rsid w:val="008C62E5"/>
    <w:rsid w:val="008D46D1"/>
    <w:rsid w:val="008D5E42"/>
    <w:rsid w:val="008E471F"/>
    <w:rsid w:val="00911110"/>
    <w:rsid w:val="00915166"/>
    <w:rsid w:val="009252F9"/>
    <w:rsid w:val="00945C49"/>
    <w:rsid w:val="00953D37"/>
    <w:rsid w:val="00961F54"/>
    <w:rsid w:val="00974FE4"/>
    <w:rsid w:val="0099564C"/>
    <w:rsid w:val="009B2F61"/>
    <w:rsid w:val="009B5254"/>
    <w:rsid w:val="009D29FF"/>
    <w:rsid w:val="00A06F83"/>
    <w:rsid w:val="00A25CF4"/>
    <w:rsid w:val="00A52A37"/>
    <w:rsid w:val="00A86795"/>
    <w:rsid w:val="00A943C9"/>
    <w:rsid w:val="00AA1CB4"/>
    <w:rsid w:val="00AA428F"/>
    <w:rsid w:val="00AA4F56"/>
    <w:rsid w:val="00AC4006"/>
    <w:rsid w:val="00AD2626"/>
    <w:rsid w:val="00AD3796"/>
    <w:rsid w:val="00AD5CAB"/>
    <w:rsid w:val="00AE1333"/>
    <w:rsid w:val="00AF5532"/>
    <w:rsid w:val="00AF66EA"/>
    <w:rsid w:val="00B03B65"/>
    <w:rsid w:val="00B071E4"/>
    <w:rsid w:val="00B131E1"/>
    <w:rsid w:val="00B422A2"/>
    <w:rsid w:val="00B42B09"/>
    <w:rsid w:val="00B47507"/>
    <w:rsid w:val="00B509AE"/>
    <w:rsid w:val="00B56A9C"/>
    <w:rsid w:val="00B57511"/>
    <w:rsid w:val="00B771FC"/>
    <w:rsid w:val="00B84571"/>
    <w:rsid w:val="00B949F8"/>
    <w:rsid w:val="00BE398B"/>
    <w:rsid w:val="00BF1F1A"/>
    <w:rsid w:val="00BF2D94"/>
    <w:rsid w:val="00C00CC7"/>
    <w:rsid w:val="00C15D91"/>
    <w:rsid w:val="00C34D17"/>
    <w:rsid w:val="00C46568"/>
    <w:rsid w:val="00C53A78"/>
    <w:rsid w:val="00C718B9"/>
    <w:rsid w:val="00C94EE6"/>
    <w:rsid w:val="00CC673F"/>
    <w:rsid w:val="00CF46E6"/>
    <w:rsid w:val="00D0493A"/>
    <w:rsid w:val="00D16F14"/>
    <w:rsid w:val="00D668E9"/>
    <w:rsid w:val="00D85E25"/>
    <w:rsid w:val="00D90DAC"/>
    <w:rsid w:val="00DA3493"/>
    <w:rsid w:val="00DB7A84"/>
    <w:rsid w:val="00DC36BD"/>
    <w:rsid w:val="00DD417D"/>
    <w:rsid w:val="00E21CBA"/>
    <w:rsid w:val="00E21D57"/>
    <w:rsid w:val="00E34080"/>
    <w:rsid w:val="00E47919"/>
    <w:rsid w:val="00E5322C"/>
    <w:rsid w:val="00E80576"/>
    <w:rsid w:val="00EA3694"/>
    <w:rsid w:val="00EA50A1"/>
    <w:rsid w:val="00EC675A"/>
    <w:rsid w:val="00ED3142"/>
    <w:rsid w:val="00EF08F2"/>
    <w:rsid w:val="00EF4081"/>
    <w:rsid w:val="00EF62C0"/>
    <w:rsid w:val="00F17533"/>
    <w:rsid w:val="00F52AA9"/>
    <w:rsid w:val="00F6247B"/>
    <w:rsid w:val="00F67A3B"/>
    <w:rsid w:val="00F70A95"/>
    <w:rsid w:val="00FC1C43"/>
    <w:rsid w:val="00FE2E8B"/>
    <w:rsid w:val="00FE44DF"/>
    <w:rsid w:val="00FF008F"/>
    <w:rsid w:val="00FF55F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BBD6628"/>
  <w15:docId w15:val="{38544D71-3DB9-4716-B651-85D7847F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AF5532"/>
    <w:pPr>
      <w:keepNext/>
      <w:keepLines/>
      <w:spacing w:before="480" w:after="120" w:line="276" w:lineRule="auto"/>
      <w:outlineLvl w:val="0"/>
    </w:pPr>
    <w:rPr>
      <w:rFonts w:eastAsia="FZShuTi" w:cs="Times New Roman"/>
      <w:b/>
      <w:bCs/>
      <w:sz w:val="32"/>
      <w:szCs w:val="28"/>
      <w:lang w:val="de-AT" w:eastAsia="de-AT"/>
    </w:rPr>
  </w:style>
  <w:style w:type="paragraph" w:styleId="berschrift3">
    <w:name w:val="heading 3"/>
    <w:basedOn w:val="Standard"/>
    <w:next w:val="Standard"/>
    <w:link w:val="berschrift3Zchn"/>
    <w:uiPriority w:val="9"/>
    <w:unhideWhenUsed/>
    <w:qFormat/>
    <w:rsid w:val="000733D8"/>
    <w:pPr>
      <w:keepNext/>
      <w:keepLines/>
      <w:spacing w:before="200"/>
      <w:outlineLvl w:val="2"/>
    </w:pPr>
    <w:rPr>
      <w:rFonts w:asciiTheme="majorHAnsi" w:eastAsiaTheme="majorEastAsia" w:hAnsiTheme="majorHAnsi" w:cstheme="majorBidi"/>
      <w:b/>
      <w:bCs/>
      <w:color w:val="C00418"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berschrift1Zchn">
    <w:name w:val="Überschrift 1 Zchn"/>
    <w:basedOn w:val="Absatz-Standardschriftart"/>
    <w:link w:val="berschrift1"/>
    <w:uiPriority w:val="9"/>
    <w:rsid w:val="00AF5532"/>
    <w:rPr>
      <w:rFonts w:ascii="Arial" w:eastAsia="FZShuTi" w:hAnsi="Arial" w:cs="Times New Roman"/>
      <w:b/>
      <w:bCs/>
      <w:sz w:val="32"/>
      <w:szCs w:val="28"/>
      <w:lang w:val="de-AT" w:eastAsia="de-AT"/>
    </w:rPr>
  </w:style>
  <w:style w:type="character" w:styleId="Kommentarzeichen">
    <w:name w:val="annotation reference"/>
    <w:basedOn w:val="Absatz-Standardschriftart"/>
    <w:uiPriority w:val="99"/>
    <w:semiHidden/>
    <w:unhideWhenUsed/>
    <w:rsid w:val="00B509AE"/>
    <w:rPr>
      <w:sz w:val="16"/>
      <w:szCs w:val="16"/>
    </w:rPr>
  </w:style>
  <w:style w:type="paragraph" w:styleId="Kommentartext">
    <w:name w:val="annotation text"/>
    <w:basedOn w:val="Standard"/>
    <w:link w:val="KommentartextZchn"/>
    <w:uiPriority w:val="99"/>
    <w:semiHidden/>
    <w:unhideWhenUsed/>
    <w:rsid w:val="00B509AE"/>
    <w:pPr>
      <w:spacing w:line="240" w:lineRule="auto"/>
    </w:pPr>
    <w:rPr>
      <w:szCs w:val="20"/>
    </w:rPr>
  </w:style>
  <w:style w:type="character" w:customStyle="1" w:styleId="KommentartextZchn">
    <w:name w:val="Kommentartext Zchn"/>
    <w:basedOn w:val="Absatz-Standardschriftart"/>
    <w:link w:val="Kommentartext"/>
    <w:uiPriority w:val="99"/>
    <w:semiHidden/>
    <w:rsid w:val="00B509A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509AE"/>
    <w:rPr>
      <w:b/>
      <w:bCs/>
    </w:rPr>
  </w:style>
  <w:style w:type="character" w:customStyle="1" w:styleId="KommentarthemaZchn">
    <w:name w:val="Kommentarthema Zchn"/>
    <w:basedOn w:val="KommentartextZchn"/>
    <w:link w:val="Kommentarthema"/>
    <w:uiPriority w:val="99"/>
    <w:semiHidden/>
    <w:rsid w:val="00B509AE"/>
    <w:rPr>
      <w:rFonts w:ascii="Arial" w:hAnsi="Arial"/>
      <w:b/>
      <w:bCs/>
      <w:sz w:val="20"/>
      <w:szCs w:val="20"/>
    </w:rPr>
  </w:style>
  <w:style w:type="character" w:customStyle="1" w:styleId="berschrift3Zchn">
    <w:name w:val="Überschrift 3 Zchn"/>
    <w:basedOn w:val="Absatz-Standardschriftart"/>
    <w:link w:val="berschrift3"/>
    <w:uiPriority w:val="9"/>
    <w:rsid w:val="000733D8"/>
    <w:rPr>
      <w:rFonts w:asciiTheme="majorHAnsi" w:eastAsiaTheme="majorEastAsia" w:hAnsiTheme="majorHAnsi" w:cstheme="majorBidi"/>
      <w:b/>
      <w:bCs/>
      <w:color w:val="C00418" w:themeColor="accent1"/>
      <w:sz w:val="20"/>
    </w:rPr>
  </w:style>
  <w:style w:type="paragraph" w:styleId="Textkrper">
    <w:name w:val="Body Text"/>
    <w:basedOn w:val="Standard"/>
    <w:link w:val="TextkrperZchn"/>
    <w:semiHidden/>
    <w:unhideWhenUsed/>
    <w:rsid w:val="00552AEB"/>
    <w:pPr>
      <w:autoSpaceDE w:val="0"/>
      <w:autoSpaceDN w:val="0"/>
      <w:adjustRightInd w:val="0"/>
      <w:spacing w:line="240" w:lineRule="auto"/>
    </w:pPr>
    <w:rPr>
      <w:rFonts w:ascii="Verdana" w:eastAsia="Times New Roman" w:hAnsi="Verdana" w:cs="Times New Roman"/>
      <w:b/>
      <w:bCs/>
      <w:szCs w:val="20"/>
      <w:lang w:val="x-none" w:eastAsia="x-none"/>
    </w:rPr>
  </w:style>
  <w:style w:type="character" w:customStyle="1" w:styleId="TextkrperZchn">
    <w:name w:val="Textkörper Zchn"/>
    <w:basedOn w:val="Absatz-Standardschriftart"/>
    <w:link w:val="Textkrper"/>
    <w:semiHidden/>
    <w:rsid w:val="00552AEB"/>
    <w:rPr>
      <w:rFonts w:ascii="Verdana" w:eastAsia="Times New Roman" w:hAnsi="Verdana" w:cs="Times New Roman"/>
      <w:b/>
      <w:bCs/>
      <w:sz w:val="20"/>
      <w:szCs w:val="20"/>
      <w:lang w:val="x-none" w:eastAsia="x-none"/>
    </w:rPr>
  </w:style>
  <w:style w:type="paragraph" w:styleId="NurText">
    <w:name w:val="Plain Text"/>
    <w:basedOn w:val="Standard"/>
    <w:link w:val="NurTextZchn"/>
    <w:semiHidden/>
    <w:unhideWhenUsed/>
    <w:rsid w:val="003C2BA6"/>
    <w:pPr>
      <w:widowControl w:val="0"/>
      <w:autoSpaceDN w:val="0"/>
      <w:adjustRightInd w:val="0"/>
      <w:spacing w:line="240" w:lineRule="auto"/>
    </w:pPr>
    <w:rPr>
      <w:rFonts w:ascii="Courier New" w:eastAsia="Times New Roman" w:hAnsi="Courier New" w:cs="Courier New"/>
      <w:szCs w:val="20"/>
      <w:lang w:eastAsia="de-DE"/>
    </w:rPr>
  </w:style>
  <w:style w:type="character" w:customStyle="1" w:styleId="NurTextZchn">
    <w:name w:val="Nur Text Zchn"/>
    <w:basedOn w:val="Absatz-Standardschriftart"/>
    <w:link w:val="NurText"/>
    <w:semiHidden/>
    <w:rsid w:val="003C2BA6"/>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606867">
      <w:bodyDiv w:val="1"/>
      <w:marLeft w:val="0"/>
      <w:marRight w:val="0"/>
      <w:marTop w:val="0"/>
      <w:marBottom w:val="0"/>
      <w:divBdr>
        <w:top w:val="none" w:sz="0" w:space="0" w:color="auto"/>
        <w:left w:val="none" w:sz="0" w:space="0" w:color="auto"/>
        <w:bottom w:val="none" w:sz="0" w:space="0" w:color="auto"/>
        <w:right w:val="none" w:sz="0" w:space="0" w:color="auto"/>
      </w:divBdr>
      <w:divsChild>
        <w:div w:id="474447802">
          <w:marLeft w:val="0"/>
          <w:marRight w:val="0"/>
          <w:marTop w:val="0"/>
          <w:marBottom w:val="0"/>
          <w:divBdr>
            <w:top w:val="none" w:sz="0" w:space="0" w:color="auto"/>
            <w:left w:val="none" w:sz="0" w:space="0" w:color="auto"/>
            <w:bottom w:val="none" w:sz="0" w:space="0" w:color="auto"/>
            <w:right w:val="none" w:sz="0" w:space="0" w:color="auto"/>
          </w:divBdr>
          <w:divsChild>
            <w:div w:id="1744453267">
              <w:marLeft w:val="0"/>
              <w:marRight w:val="0"/>
              <w:marTop w:val="0"/>
              <w:marBottom w:val="0"/>
              <w:divBdr>
                <w:top w:val="none" w:sz="0" w:space="0" w:color="auto"/>
                <w:left w:val="none" w:sz="0" w:space="0" w:color="auto"/>
                <w:bottom w:val="none" w:sz="0" w:space="0" w:color="auto"/>
                <w:right w:val="none" w:sz="0" w:space="0" w:color="auto"/>
              </w:divBdr>
              <w:divsChild>
                <w:div w:id="126893450">
                  <w:marLeft w:val="75"/>
                  <w:marRight w:val="75"/>
                  <w:marTop w:val="0"/>
                  <w:marBottom w:val="645"/>
                  <w:divBdr>
                    <w:top w:val="none" w:sz="0" w:space="0" w:color="auto"/>
                    <w:left w:val="none" w:sz="0" w:space="0" w:color="auto"/>
                    <w:bottom w:val="none" w:sz="0" w:space="0" w:color="auto"/>
                    <w:right w:val="none" w:sz="0" w:space="0" w:color="auto"/>
                  </w:divBdr>
                  <w:divsChild>
                    <w:div w:id="419059238">
                      <w:marLeft w:val="0"/>
                      <w:marRight w:val="525"/>
                      <w:marTop w:val="0"/>
                      <w:marBottom w:val="0"/>
                      <w:divBdr>
                        <w:top w:val="none" w:sz="0" w:space="0" w:color="auto"/>
                        <w:left w:val="none" w:sz="0" w:space="0" w:color="auto"/>
                        <w:bottom w:val="none" w:sz="0" w:space="0" w:color="auto"/>
                        <w:right w:val="none" w:sz="0" w:space="0" w:color="auto"/>
                      </w:divBdr>
                      <w:divsChild>
                        <w:div w:id="2054958110">
                          <w:marLeft w:val="0"/>
                          <w:marRight w:val="0"/>
                          <w:marTop w:val="0"/>
                          <w:marBottom w:val="0"/>
                          <w:divBdr>
                            <w:top w:val="none" w:sz="0" w:space="0" w:color="auto"/>
                            <w:left w:val="none" w:sz="0" w:space="0" w:color="auto"/>
                            <w:bottom w:val="none" w:sz="0" w:space="0" w:color="auto"/>
                            <w:right w:val="none" w:sz="0" w:space="0" w:color="auto"/>
                          </w:divBdr>
                          <w:divsChild>
                            <w:div w:id="799613517">
                              <w:marLeft w:val="0"/>
                              <w:marRight w:val="0"/>
                              <w:marTop w:val="0"/>
                              <w:marBottom w:val="225"/>
                              <w:divBdr>
                                <w:top w:val="none" w:sz="0" w:space="0" w:color="auto"/>
                                <w:left w:val="none" w:sz="0" w:space="0" w:color="auto"/>
                                <w:bottom w:val="none" w:sz="0" w:space="0" w:color="auto"/>
                                <w:right w:val="none" w:sz="0" w:space="0" w:color="auto"/>
                              </w:divBdr>
                              <w:divsChild>
                                <w:div w:id="15871109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88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gw-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3715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Tahedl Alexander</cp:lastModifiedBy>
  <cp:revision>19</cp:revision>
  <cp:lastPrinted>2016-04-21T10:56:00Z</cp:lastPrinted>
  <dcterms:created xsi:type="dcterms:W3CDTF">2017-10-12T08:24:00Z</dcterms:created>
  <dcterms:modified xsi:type="dcterms:W3CDTF">2018-02-22T09:41:00Z</dcterms:modified>
</cp:coreProperties>
</file>