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6C85C" w14:textId="211CA18B" w:rsidR="007A1DCE" w:rsidRPr="007A1DCE" w:rsidRDefault="007A1DCE" w:rsidP="00176B6A">
      <w:pPr>
        <w:spacing w:before="120" w:after="240"/>
        <w:ind w:right="1837"/>
        <w:rPr>
          <w:rFonts w:cs="Arial"/>
          <w:b/>
          <w:sz w:val="28"/>
          <w:szCs w:val="20"/>
        </w:rPr>
      </w:pPr>
      <w:r w:rsidRPr="007A1DCE">
        <w:rPr>
          <w:rFonts w:cs="Arial"/>
          <w:b/>
          <w:sz w:val="28"/>
          <w:szCs w:val="20"/>
        </w:rPr>
        <w:t xml:space="preserve">TGW hat die Total Cost of Ownership im Griff – </w:t>
      </w:r>
      <w:r w:rsidRPr="007A1DCE">
        <w:rPr>
          <w:rFonts w:cs="Arial"/>
          <w:b/>
          <w:sz w:val="28"/>
          <w:szCs w:val="20"/>
        </w:rPr>
        <w:br/>
        <w:t>Die Lösung mit der 360-Grad-Perspektive</w:t>
      </w:r>
    </w:p>
    <w:p w14:paraId="5B39C7A3" w14:textId="2A14F477" w:rsidR="00176B6A" w:rsidRPr="00AB0034" w:rsidRDefault="00176B6A" w:rsidP="00176B6A">
      <w:pPr>
        <w:spacing w:before="120" w:after="240"/>
        <w:ind w:right="1837"/>
        <w:rPr>
          <w:b/>
        </w:rPr>
      </w:pPr>
      <w:r w:rsidRPr="00AB0034">
        <w:rPr>
          <w:b/>
        </w:rPr>
        <w:t xml:space="preserve">Ein Blick in die Zukunft? Unmöglich. Und trotzdem </w:t>
      </w:r>
      <w:r w:rsidR="00100002">
        <w:rPr>
          <w:b/>
        </w:rPr>
        <w:t>muss</w:t>
      </w:r>
      <w:r w:rsidRPr="00AB0034">
        <w:rPr>
          <w:b/>
        </w:rPr>
        <w:t xml:space="preserve"> man sich bei der Planung eines Intralogistikzentrums bereits </w:t>
      </w:r>
      <w:r w:rsidR="00DE6E90">
        <w:rPr>
          <w:b/>
        </w:rPr>
        <w:t>auf sie</w:t>
      </w:r>
      <w:r w:rsidRPr="00AB0034">
        <w:rPr>
          <w:b/>
        </w:rPr>
        <w:t xml:space="preserve"> vorbereiten. </w:t>
      </w:r>
      <w:r w:rsidR="00DE6E90">
        <w:rPr>
          <w:b/>
        </w:rPr>
        <w:t>Wie soll die künftige Logistiklösung aussehen, welche Kosten fallen an, und wie kann man das alles umsetzen</w:t>
      </w:r>
      <w:r w:rsidRPr="00AB0034">
        <w:rPr>
          <w:b/>
        </w:rPr>
        <w:t xml:space="preserve">? Bei TGW finden Sie die Experten mit </w:t>
      </w:r>
      <w:r w:rsidR="00696328">
        <w:rPr>
          <w:b/>
        </w:rPr>
        <w:t xml:space="preserve">der </w:t>
      </w:r>
      <w:r w:rsidRPr="00AB0034">
        <w:rPr>
          <w:b/>
        </w:rPr>
        <w:t xml:space="preserve">360-Grad-Perspektive. Sie </w:t>
      </w:r>
      <w:r w:rsidR="00B65263">
        <w:rPr>
          <w:b/>
        </w:rPr>
        <w:t xml:space="preserve">versetzen sich in die Lage ihrer Kunden und </w:t>
      </w:r>
      <w:r w:rsidRPr="00AB0034">
        <w:rPr>
          <w:b/>
        </w:rPr>
        <w:t xml:space="preserve">kreieren </w:t>
      </w:r>
      <w:r w:rsidR="00B65263">
        <w:rPr>
          <w:b/>
        </w:rPr>
        <w:t xml:space="preserve">ein </w:t>
      </w:r>
      <w:r w:rsidRPr="00AB0034">
        <w:rPr>
          <w:b/>
        </w:rPr>
        <w:t>Logistikzentrum mit Weitblick, ohne in d</w:t>
      </w:r>
      <w:r w:rsidR="00241F90">
        <w:rPr>
          <w:b/>
        </w:rPr>
        <w:t>ie Glaskugel blicken zu müssen.</w:t>
      </w:r>
    </w:p>
    <w:p w14:paraId="7DA5F935" w14:textId="69BCE5DC" w:rsidR="00DE6E90" w:rsidRDefault="00514071" w:rsidP="00176B6A">
      <w:pPr>
        <w:spacing w:before="120" w:after="240"/>
        <w:ind w:right="1837"/>
      </w:pPr>
      <w:r w:rsidRPr="00514071">
        <w:t xml:space="preserve">Manchmal wäre es tatsächlich </w:t>
      </w:r>
      <w:r w:rsidR="00DE6E90">
        <w:t>von Vorteil</w:t>
      </w:r>
      <w:r w:rsidRPr="00514071">
        <w:t xml:space="preserve">, einen Blick in die Glaskugel </w:t>
      </w:r>
      <w:r w:rsidR="00696328">
        <w:t xml:space="preserve">und somit in die Zukunft </w:t>
      </w:r>
      <w:r w:rsidRPr="00514071">
        <w:t xml:space="preserve">zu werfen. </w:t>
      </w:r>
      <w:r>
        <w:t xml:space="preserve">Nur um sich auf die kommenden Jahre </w:t>
      </w:r>
      <w:r w:rsidR="00DE6E90">
        <w:t xml:space="preserve">besser </w:t>
      </w:r>
      <w:r>
        <w:t xml:space="preserve">vorbereiten zu können. </w:t>
      </w:r>
      <w:r w:rsidR="00D61BAA">
        <w:t>Statt des</w:t>
      </w:r>
      <w:r w:rsidR="00DE6E90">
        <w:t xml:space="preserve"> Blick</w:t>
      </w:r>
      <w:r w:rsidR="00D61BAA">
        <w:t>s</w:t>
      </w:r>
      <w:r w:rsidR="00DE6E90">
        <w:t xml:space="preserve"> in die Zukunft empfiehlt sich jedoch eine</w:t>
      </w:r>
      <w:r>
        <w:t xml:space="preserve"> </w:t>
      </w:r>
      <w:r w:rsidR="00936590">
        <w:t xml:space="preserve">weitaus </w:t>
      </w:r>
      <w:r w:rsidR="00D61BAA">
        <w:t>effektivere Methode: D</w:t>
      </w:r>
      <w:r>
        <w:t xml:space="preserve">ie Betrachtung der Total Cost of Ownership (TCO) – die sogenannten Gesamtbetriebskosten. </w:t>
      </w:r>
      <w:r w:rsidR="00FD222E">
        <w:t>Der frühzei</w:t>
      </w:r>
      <w:r w:rsidR="000D4E85">
        <w:t xml:space="preserve">tige Fokus auf die </w:t>
      </w:r>
      <w:r w:rsidR="00DE6E90">
        <w:t xml:space="preserve">TCO </w:t>
      </w:r>
      <w:r w:rsidR="000D4E85">
        <w:t xml:space="preserve">im Zuge der </w:t>
      </w:r>
      <w:r w:rsidR="00DE6E90">
        <w:t xml:space="preserve">Businessplanung </w:t>
      </w:r>
      <w:r w:rsidR="000D4E85">
        <w:t xml:space="preserve">beinhaltet die Prognose von </w:t>
      </w:r>
      <w:r w:rsidR="00DE6E90">
        <w:t xml:space="preserve">Entwicklungen und Einsparungen </w:t>
      </w:r>
      <w:r w:rsidR="000D4E85">
        <w:t xml:space="preserve">auf Basis konkreter </w:t>
      </w:r>
      <w:r w:rsidR="00DE6E90">
        <w:t>Zahl</w:t>
      </w:r>
      <w:r w:rsidR="00CB343A">
        <w:t xml:space="preserve">en über </w:t>
      </w:r>
      <w:r w:rsidR="000D4E85">
        <w:t xml:space="preserve">mehrere </w:t>
      </w:r>
      <w:r w:rsidR="00CB343A">
        <w:t>Jahre.</w:t>
      </w:r>
    </w:p>
    <w:p w14:paraId="1E0CC7A6" w14:textId="3123CAFD" w:rsidR="00514071" w:rsidRPr="00514071" w:rsidRDefault="00514071" w:rsidP="00176B6A">
      <w:pPr>
        <w:spacing w:before="120" w:after="240"/>
        <w:ind w:right="1837"/>
      </w:pPr>
      <w:r>
        <w:t>„Unsere Kunden wollen eine zuverlässige, flexible, langlebige und leistungsstarke Logistikanlage. Die Technik soll sie bei ihren Plänen begleiten und auch in der Zukunft</w:t>
      </w:r>
      <w:r w:rsidR="00DE6E90">
        <w:t xml:space="preserve"> noch</w:t>
      </w:r>
      <w:r>
        <w:t xml:space="preserve"> stark und ausbaufähig sein. Sie </w:t>
      </w:r>
      <w:r w:rsidR="000D4E85">
        <w:t xml:space="preserve">suchen nach </w:t>
      </w:r>
      <w:r>
        <w:t>eine</w:t>
      </w:r>
      <w:r w:rsidR="000D4E85">
        <w:t>r</w:t>
      </w:r>
      <w:r>
        <w:t xml:space="preserve"> intelligente</w:t>
      </w:r>
      <w:r w:rsidR="000D4E85">
        <w:t>n</w:t>
      </w:r>
      <w:r>
        <w:t xml:space="preserve"> Gesamtlösung, bei der sie wissen, was sie erwartet, sowohl in technischer als auch in </w:t>
      </w:r>
      <w:r w:rsidR="00FD222E">
        <w:t>kaufmänn</w:t>
      </w:r>
      <w:r w:rsidR="00ED55F3">
        <w:t>i</w:t>
      </w:r>
      <w:r w:rsidR="00FD222E">
        <w:t>s</w:t>
      </w:r>
      <w:r w:rsidR="00ED55F3">
        <w:t xml:space="preserve">cher </w:t>
      </w:r>
      <w:r>
        <w:t xml:space="preserve">Hinsicht. Wir bei TGW bieten </w:t>
      </w:r>
      <w:r w:rsidR="00FA588F">
        <w:t>all das</w:t>
      </w:r>
      <w:r>
        <w:t xml:space="preserve"> und noch viel mehr – denn wir beleuchten die Anlage </w:t>
      </w:r>
      <w:r w:rsidR="00C358F6">
        <w:t xml:space="preserve">von allen Perspektiven, um unseren Kunden ein verlässliches und zukunftsfähiges Gesamtpaket </w:t>
      </w:r>
      <w:r w:rsidR="00ED55F3">
        <w:t>anbieten zu können</w:t>
      </w:r>
      <w:r w:rsidR="00C358F6">
        <w:t>“, meint Christoph Wolkerstorfer, Chief Sales O</w:t>
      </w:r>
      <w:r w:rsidR="00241F90">
        <w:t>fficer der TGW Logistics Group.</w:t>
      </w:r>
    </w:p>
    <w:p w14:paraId="41327758" w14:textId="4FB56A3D" w:rsidR="00176B6A" w:rsidRPr="008C6D11" w:rsidRDefault="008C6D11" w:rsidP="00176B6A">
      <w:pPr>
        <w:spacing w:before="120" w:after="240"/>
        <w:ind w:right="1837"/>
        <w:rPr>
          <w:b/>
        </w:rPr>
      </w:pPr>
      <w:r w:rsidRPr="008C6D11">
        <w:rPr>
          <w:b/>
        </w:rPr>
        <w:t>Was ist eine 360-Grad-Logistiklösung?</w:t>
      </w:r>
    </w:p>
    <w:p w14:paraId="61608AB0" w14:textId="5EFAF2CC" w:rsidR="008C6D11" w:rsidRDefault="00B36292" w:rsidP="00176B6A">
      <w:pPr>
        <w:spacing w:before="120" w:after="240"/>
        <w:ind w:right="1837"/>
      </w:pPr>
      <w:r>
        <w:t>Was muss eine perfekte</w:t>
      </w:r>
      <w:r w:rsidR="00100002">
        <w:t>,</w:t>
      </w:r>
      <w:r>
        <w:t xml:space="preserve"> automatisierte Logistiklösung beinhalten? </w:t>
      </w:r>
      <w:r w:rsidR="00DE6E90">
        <w:t xml:space="preserve">Das </w:t>
      </w:r>
      <w:r w:rsidR="00100002">
        <w:t>mechatronische</w:t>
      </w:r>
      <w:r w:rsidR="00DE6E90">
        <w:t xml:space="preserve"> E</w:t>
      </w:r>
      <w:r>
        <w:t xml:space="preserve">quipment, die Steuerung und die Software müssen Hand in Hand arbeiten und </w:t>
      </w:r>
      <w:r w:rsidR="00ED55F3">
        <w:t xml:space="preserve">einen reibungslosen Ablauf sämtlicher </w:t>
      </w:r>
      <w:r>
        <w:t xml:space="preserve">Prozesse </w:t>
      </w:r>
      <w:r w:rsidR="00ED55F3">
        <w:t>garantieren</w:t>
      </w:r>
      <w:r>
        <w:t>. Das Ziel ist, die Erwartungen de</w:t>
      </w:r>
      <w:r w:rsidR="00ED55F3">
        <w:t>r</w:t>
      </w:r>
      <w:r>
        <w:t xml:space="preserve"> Kunden </w:t>
      </w:r>
      <w:r w:rsidR="00100002">
        <w:t xml:space="preserve">100-prozentig </w:t>
      </w:r>
      <w:r>
        <w:t xml:space="preserve">zu erfüllen und alle Facetten des Geschäfts zu </w:t>
      </w:r>
      <w:r w:rsidR="00ED55F3">
        <w:t xml:space="preserve">berücksichtigen </w:t>
      </w:r>
      <w:r>
        <w:t xml:space="preserve">– 360 Grad eben. </w:t>
      </w:r>
      <w:r w:rsidR="00100002">
        <w:t>Und a</w:t>
      </w:r>
      <w:r>
        <w:t>ll dies b</w:t>
      </w:r>
      <w:r w:rsidR="00241F90">
        <w:t>eginnt bereits bei der Planung.</w:t>
      </w:r>
    </w:p>
    <w:p w14:paraId="32339664" w14:textId="626E21AB" w:rsidR="00B36292" w:rsidRDefault="00B36292" w:rsidP="00176B6A">
      <w:pPr>
        <w:spacing w:before="120" w:after="240"/>
        <w:ind w:right="1837"/>
      </w:pPr>
      <w:r>
        <w:t>Gemeinsam mit dem Kunden analysiert TGW die bestehenden Geschäftsdaten</w:t>
      </w:r>
      <w:r w:rsidR="007A1DCE">
        <w:t>, -pläne</w:t>
      </w:r>
      <w:r>
        <w:t xml:space="preserve"> und den Materialfluss, um das </w:t>
      </w:r>
      <w:r w:rsidR="00ED55F3">
        <w:t xml:space="preserve">optimale </w:t>
      </w:r>
      <w:r>
        <w:t xml:space="preserve">System zu </w:t>
      </w:r>
      <w:r w:rsidR="00CF1945">
        <w:t>kreieren</w:t>
      </w:r>
      <w:r>
        <w:t xml:space="preserve">. Jede TGW-Lösung basiert auf leistungsstarken automatisierten Systemen, darunter Regalbediengeräte, </w:t>
      </w:r>
      <w:r>
        <w:lastRenderedPageBreak/>
        <w:t xml:space="preserve">Shuttles, Kommissioniermodule, Fördertechnik und Sorter. </w:t>
      </w:r>
      <w:r w:rsidR="00DE6E90">
        <w:t xml:space="preserve">In Kombination mit einem flexiblen und </w:t>
      </w:r>
      <w:r w:rsidR="00D57CA4">
        <w:t xml:space="preserve">intelligenten Warehouse Management und Warehouse Control System </w:t>
      </w:r>
      <w:r w:rsidR="00DE6E90">
        <w:t>ergeben</w:t>
      </w:r>
      <w:r w:rsidR="00D57CA4">
        <w:t xml:space="preserve"> diese Komponenten eine komplette Logistiklösung, die die </w:t>
      </w:r>
      <w:r w:rsidR="00ED55F3">
        <w:t xml:space="preserve">Gesamtkosten für die Intralogistik unserer Kunden </w:t>
      </w:r>
      <w:r w:rsidR="00CF1945">
        <w:t xml:space="preserve">drastisch </w:t>
      </w:r>
      <w:r w:rsidR="00ED55F3">
        <w:t>reduzieren</w:t>
      </w:r>
      <w:r w:rsidR="00CF1945">
        <w:t>.</w:t>
      </w:r>
      <w:r w:rsidR="00ED55F3">
        <w:t xml:space="preserve"> Doch Logistiklösung ist nicht gleich Logistiklösung. Die frühzeitige Betra</w:t>
      </w:r>
      <w:r w:rsidR="006B6B11">
        <w:t xml:space="preserve">chtung der Gesamtbetriebskosten, der </w:t>
      </w:r>
      <w:r w:rsidR="00914354">
        <w:t>TCO</w:t>
      </w:r>
      <w:r w:rsidR="006B6B11">
        <w:t xml:space="preserve">, über die Laufzeit einer Anlage </w:t>
      </w:r>
      <w:r w:rsidR="00ED55F3">
        <w:t xml:space="preserve">macht den Unterschied. </w:t>
      </w:r>
      <w:r w:rsidR="006B6B11">
        <w:t xml:space="preserve">TGW betrachtet hier neben den </w:t>
      </w:r>
      <w:r w:rsidR="00B04D8C">
        <w:t>Investitionskosten</w:t>
      </w:r>
      <w:r w:rsidR="006B6B11">
        <w:t xml:space="preserve"> einer Anlage, die Aufwände für den laufenden Betrieb</w:t>
      </w:r>
      <w:r w:rsidR="00B04D8C">
        <w:t xml:space="preserve"> und strebt danach</w:t>
      </w:r>
      <w:r w:rsidR="00914354">
        <w:t>,</w:t>
      </w:r>
      <w:r w:rsidR="006B6B11">
        <w:t xml:space="preserve"> diese im Sinne unserer Kunden auf ein absolutes Minimum zu reduzieren.</w:t>
      </w:r>
    </w:p>
    <w:p w14:paraId="10846F24" w14:textId="6729A3DC" w:rsidR="00936590" w:rsidRDefault="00D57CA4" w:rsidP="00176B6A">
      <w:pPr>
        <w:spacing w:before="120" w:after="240"/>
        <w:ind w:right="1837"/>
      </w:pPr>
      <w:r>
        <w:t>Christoph Wolkerstorfer erklärt: „</w:t>
      </w:r>
      <w:r w:rsidR="00DF6FF6">
        <w:t>TGW übernimmt die Entwicklung, die Planung und die Realisierung der 360-Grad-Logistiklösung. Nach einer sorgfältigen Analyse der Prozesse und Anforderungen entsteht eine Lösung basierend auf leistungsstarken TGW-Modulen und der TGW Software Suite.</w:t>
      </w:r>
      <w:r w:rsidR="00DF6FF6" w:rsidRPr="00DF6FF6">
        <w:t xml:space="preserve"> </w:t>
      </w:r>
      <w:r w:rsidR="00DF6FF6">
        <w:t xml:space="preserve">Dadurch können sich unsere Kunden auf ihr Kerngeschäft konzentrieren. </w:t>
      </w:r>
      <w:r w:rsidR="00CF1945">
        <w:t>Während</w:t>
      </w:r>
      <w:r w:rsidR="00DE6E90">
        <w:t>dessen sichern</w:t>
      </w:r>
      <w:r w:rsidR="00CF1945">
        <w:t xml:space="preserve"> wir den reibungslosen Materialfluss und</w:t>
      </w:r>
      <w:r w:rsidR="00DE6E90">
        <w:t xml:space="preserve"> senken</w:t>
      </w:r>
      <w:r>
        <w:t>, je nach System, ihre Total Cost of Ownership um bis zu 50 Prozent.“</w:t>
      </w:r>
    </w:p>
    <w:p w14:paraId="6F55F4F7" w14:textId="27C7464D" w:rsidR="00D57CA4" w:rsidRPr="003D121D" w:rsidRDefault="003D121D" w:rsidP="00176B6A">
      <w:pPr>
        <w:spacing w:before="120" w:after="240"/>
        <w:ind w:right="1837"/>
        <w:rPr>
          <w:b/>
        </w:rPr>
      </w:pPr>
      <w:r>
        <w:rPr>
          <w:b/>
        </w:rPr>
        <w:t>Schlüsselfaktoren bei der TCO-Berechnung</w:t>
      </w:r>
    </w:p>
    <w:p w14:paraId="1BD8C1E0" w14:textId="6483E761" w:rsidR="003D121D" w:rsidRDefault="007D44D1" w:rsidP="00176B6A">
      <w:pPr>
        <w:spacing w:before="120" w:after="240"/>
        <w:ind w:right="1837"/>
      </w:pPr>
      <w:r>
        <w:t xml:space="preserve">Natürlich gibt es eine Menge Faktoren, die es bei der Berechnung der TCO zu beachten gibt. </w:t>
      </w:r>
      <w:r w:rsidR="009E0E7D">
        <w:t xml:space="preserve">Die Gesamtkosten setzen sich aus den anfänglichen Investitionsausgaben (CAPEX) und den </w:t>
      </w:r>
      <w:r w:rsidR="00FA588F">
        <w:t xml:space="preserve">laufenden </w:t>
      </w:r>
      <w:r w:rsidR="009E0E7D">
        <w:t xml:space="preserve">Betriebskosten (OPEX) zusammen. </w:t>
      </w:r>
      <w:r w:rsidR="006655BE">
        <w:t>TGW als</w:t>
      </w:r>
      <w:r w:rsidR="009E0E7D">
        <w:t xml:space="preserve"> Systemintegrator </w:t>
      </w:r>
      <w:r w:rsidR="006655BE">
        <w:t>berücksichtigt</w:t>
      </w:r>
      <w:r w:rsidR="009E0E7D">
        <w:t xml:space="preserve"> immer beide Aspekte, um ein allumfassendes Paket mit niedrigsten TCO für die </w:t>
      </w:r>
      <w:r w:rsidR="00FD222E">
        <w:t>Intralogistiklösung</w:t>
      </w:r>
      <w:r w:rsidR="009E0E7D">
        <w:t xml:space="preserve"> zu ermöglichen und potenzie</w:t>
      </w:r>
      <w:r w:rsidR="00CF1945">
        <w:t>lle Einsparungen vorherzusagen.</w:t>
      </w:r>
    </w:p>
    <w:p w14:paraId="1A2AF792" w14:textId="13201B11" w:rsidR="00C95964" w:rsidRPr="00514071" w:rsidRDefault="00B04D8C" w:rsidP="00176B6A">
      <w:pPr>
        <w:spacing w:before="120" w:after="240"/>
        <w:ind w:right="1837"/>
      </w:pPr>
      <w:r>
        <w:t xml:space="preserve">Die laufenden Betriebskosten </w:t>
      </w:r>
      <w:r w:rsidR="006655BE">
        <w:t>umfassen</w:t>
      </w:r>
      <w:r w:rsidR="00C95964">
        <w:t xml:space="preserve"> Personalkosten für den Anlagenbetrieb,</w:t>
      </w:r>
      <w:r w:rsidR="00FA588F">
        <w:t xml:space="preserve"> Energieverbrauch, Ersatzteile sowie </w:t>
      </w:r>
      <w:r w:rsidR="00C95964">
        <w:t>Wartung und Upgrades de</w:t>
      </w:r>
      <w:r w:rsidR="00DE6E90">
        <w:t>r</w:t>
      </w:r>
      <w:r w:rsidR="00C95964">
        <w:t xml:space="preserve"> Software und Hardware über die gesamte Lebensdauer eine</w:t>
      </w:r>
      <w:r w:rsidR="00CB343A">
        <w:t>r</w:t>
      </w:r>
      <w:r w:rsidR="00C95964">
        <w:t xml:space="preserve"> Logistiklösung. </w:t>
      </w:r>
      <w:r w:rsidR="00914354">
        <w:t>Durch konsequenten Fok</w:t>
      </w:r>
      <w:r>
        <w:t xml:space="preserve">us auf die </w:t>
      </w:r>
      <w:r w:rsidR="00DE6E90">
        <w:t xml:space="preserve">TCO </w:t>
      </w:r>
      <w:r w:rsidR="00C95964">
        <w:t xml:space="preserve">reduzieren wir diese Kosten bereits von Beginn an und entwickeln und implementieren maßgeschneiderte Betriebsstrategien für den Kunden. Durch die 360-Grad-Perspektive werden alle Aspekte </w:t>
      </w:r>
      <w:r w:rsidR="00CF1945">
        <w:t>langfristig eingeplant.</w:t>
      </w:r>
    </w:p>
    <w:p w14:paraId="48194A0D" w14:textId="64D28CC6" w:rsidR="00176B6A" w:rsidRPr="00FC077D" w:rsidRDefault="00C138CE" w:rsidP="00176B6A">
      <w:pPr>
        <w:spacing w:before="120" w:after="240"/>
        <w:ind w:right="1837"/>
        <w:rPr>
          <w:b/>
        </w:rPr>
      </w:pPr>
      <w:r>
        <w:rPr>
          <w:b/>
        </w:rPr>
        <w:t xml:space="preserve">Personalkosten: </w:t>
      </w:r>
      <w:r w:rsidR="00C64200">
        <w:rPr>
          <w:b/>
        </w:rPr>
        <w:t>Ergonomie für die Menschen in der Logisti</w:t>
      </w:r>
      <w:r w:rsidR="00241F90">
        <w:rPr>
          <w:b/>
        </w:rPr>
        <w:t>k</w:t>
      </w:r>
    </w:p>
    <w:p w14:paraId="6D6B9A21" w14:textId="465BE6C1" w:rsidR="00FC077D" w:rsidRDefault="00492F0E" w:rsidP="00176B6A">
      <w:pPr>
        <w:spacing w:before="120" w:after="240"/>
        <w:ind w:right="1837"/>
      </w:pPr>
      <w:r>
        <w:t xml:space="preserve">Selbst eine </w:t>
      </w:r>
      <w:r w:rsidR="00241F90">
        <w:t>hoch</w:t>
      </w:r>
      <w:r>
        <w:t xml:space="preserve">automatisierte Intralogistiklösung funktioniert nicht gänzlich ohne Personal. </w:t>
      </w:r>
      <w:r w:rsidR="00B04D8C">
        <w:t xml:space="preserve">Die Anzahl der benötigten Personen ist hierbei </w:t>
      </w:r>
      <w:r w:rsidR="00FA588F">
        <w:t>stark vo</w:t>
      </w:r>
      <w:r>
        <w:t xml:space="preserve">m Grad der Automatisierung abhängig. </w:t>
      </w:r>
      <w:r w:rsidR="00F9085A">
        <w:t xml:space="preserve">Im Sinne der Mitarbeiter unserer Kunden </w:t>
      </w:r>
      <w:r>
        <w:t xml:space="preserve">legt </w:t>
      </w:r>
      <w:r w:rsidR="00F9085A">
        <w:t xml:space="preserve">TGW </w:t>
      </w:r>
      <w:r>
        <w:t xml:space="preserve">großen Wert auf ergonomisches Design für bessere Arbeitsbedingungen, </w:t>
      </w:r>
      <w:r w:rsidR="006655BE">
        <w:t xml:space="preserve">minimale </w:t>
      </w:r>
      <w:r w:rsidR="006655BE">
        <w:lastRenderedPageBreak/>
        <w:t xml:space="preserve">Verletzungsgefahr und </w:t>
      </w:r>
      <w:r>
        <w:t xml:space="preserve">höhere Produktivität. </w:t>
      </w:r>
      <w:r w:rsidR="0048226B">
        <w:t>Technologien rund um</w:t>
      </w:r>
      <w:r>
        <w:t xml:space="preserve"> Ware-zur-Person-Systeme </w:t>
      </w:r>
      <w:r w:rsidR="0048226B">
        <w:t>haben</w:t>
      </w:r>
      <w:r>
        <w:t xml:space="preserve"> sich durchgesetzt – wie beispielsweise TGW FlashPick</w:t>
      </w:r>
      <w:r w:rsidRPr="00241F90">
        <w:rPr>
          <w:vertAlign w:val="superscript"/>
        </w:rPr>
        <w:t>®</w:t>
      </w:r>
      <w:r>
        <w:t xml:space="preserve"> mit seinen PickCenter-Produktfamilien, die</w:t>
      </w:r>
      <w:r w:rsidR="00FD222E">
        <w:t xml:space="preserve"> pro Arbeitsplatz</w:t>
      </w:r>
      <w:r>
        <w:t xml:space="preserve"> bis zu 1.000 Picks pro Stunde ermöglichen. Es sind genau diese Technologien, die die wachsenden Anforderungen hinsichtlich Omni-Channel mit Einzelstück-Kommissionierlösungen erfüllen. Dadurch steigt die Bedienerleistung um das Fünffache bei gleichzeitige</w:t>
      </w:r>
      <w:r w:rsidR="00241F90">
        <w:t>r Reduzierung der Fehlerquoten.</w:t>
      </w:r>
    </w:p>
    <w:p w14:paraId="24CAA91E" w14:textId="3AF2D71B" w:rsidR="00492F0E" w:rsidRPr="00492F0E" w:rsidRDefault="00C64200" w:rsidP="00176B6A">
      <w:pPr>
        <w:spacing w:before="120" w:after="240"/>
        <w:ind w:right="1837"/>
        <w:rPr>
          <w:b/>
        </w:rPr>
      </w:pPr>
      <w:r>
        <w:rPr>
          <w:b/>
        </w:rPr>
        <w:t>Energiekosten: Schlaue Kombinationen von Softw</w:t>
      </w:r>
      <w:r w:rsidR="00241F90">
        <w:rPr>
          <w:b/>
        </w:rPr>
        <w:t>are und Mechanik</w:t>
      </w:r>
    </w:p>
    <w:p w14:paraId="0DC6B8CC" w14:textId="5A425DE6" w:rsidR="00492F0E" w:rsidRDefault="00A1315D" w:rsidP="00176B6A">
      <w:pPr>
        <w:spacing w:before="120" w:after="240"/>
        <w:ind w:right="1837"/>
      </w:pPr>
      <w:r>
        <w:t xml:space="preserve">Intelligentes </w:t>
      </w:r>
      <w:r w:rsidR="00F9085A">
        <w:t xml:space="preserve">software-basiertes </w:t>
      </w:r>
      <w:r>
        <w:t xml:space="preserve">Energiemanagement </w:t>
      </w:r>
      <w:r w:rsidR="00FD222E">
        <w:t>reduziert</w:t>
      </w:r>
      <w:r>
        <w:t xml:space="preserve"> die Energiekosten erheblich. </w:t>
      </w:r>
      <w:r w:rsidR="00C64200">
        <w:t xml:space="preserve">Durch die Kombination mit energieeffizienten </w:t>
      </w:r>
      <w:r w:rsidR="00F9085A">
        <w:t>Leichtbau-</w:t>
      </w:r>
      <w:r w:rsidR="00C64200">
        <w:t xml:space="preserve">Komponenten sowie </w:t>
      </w:r>
      <w:r w:rsidR="00F9085A">
        <w:t xml:space="preserve">modernsten </w:t>
      </w:r>
      <w:r w:rsidR="00C64200">
        <w:t xml:space="preserve">Getrieben und Antrieben stellt TGW sicher, dass die integrierte Lösung </w:t>
      </w:r>
      <w:r w:rsidR="005D0CAC">
        <w:t xml:space="preserve">abhängig von der Systemanforderung </w:t>
      </w:r>
      <w:r w:rsidR="00F9085A">
        <w:t xml:space="preserve">bis zu </w:t>
      </w:r>
      <w:r w:rsidR="00C64200">
        <w:t>50 Prozent weniger Ene</w:t>
      </w:r>
      <w:r w:rsidR="005D0CAC">
        <w:t xml:space="preserve">rgie </w:t>
      </w:r>
      <w:r w:rsidR="00F9085A">
        <w:t xml:space="preserve">als konventionelle Systeme </w:t>
      </w:r>
      <w:r w:rsidR="005D0CAC">
        <w:t>verbraucht</w:t>
      </w:r>
      <w:r w:rsidR="00C64200">
        <w:t xml:space="preserve">. So </w:t>
      </w:r>
      <w:r w:rsidR="005D0CAC">
        <w:t>senkt</w:t>
      </w:r>
      <w:r w:rsidR="00C64200">
        <w:t xml:space="preserve"> </w:t>
      </w:r>
      <w:r w:rsidR="00F9085A">
        <w:t xml:space="preserve">beispielsweise </w:t>
      </w:r>
      <w:r w:rsidR="00C64200">
        <w:t>die TGW KingDrive</w:t>
      </w:r>
      <w:r w:rsidR="00C64200" w:rsidRPr="00241F90">
        <w:rPr>
          <w:vertAlign w:val="superscript"/>
        </w:rPr>
        <w:t>®</w:t>
      </w:r>
      <w:r w:rsidR="00C64200">
        <w:t>-Fördertechnik im Vergleich zu herkömmlichen Systemen den Energieverbrauch um mehr als die Hälfte.</w:t>
      </w:r>
    </w:p>
    <w:p w14:paraId="6D87C390" w14:textId="43C1F8F7" w:rsidR="00C64200" w:rsidRPr="00C64200" w:rsidRDefault="00C64200" w:rsidP="00176B6A">
      <w:pPr>
        <w:spacing w:before="120" w:after="240"/>
        <w:ind w:right="1837"/>
        <w:rPr>
          <w:b/>
        </w:rPr>
      </w:pPr>
      <w:r>
        <w:rPr>
          <w:b/>
        </w:rPr>
        <w:t>Lebenszykluskosten: Smarte Wartung und Ersatzteilmanagement</w:t>
      </w:r>
    </w:p>
    <w:p w14:paraId="0C664A36" w14:textId="5C8EE96D" w:rsidR="00C64200" w:rsidRDefault="00E17B67" w:rsidP="00176B6A">
      <w:pPr>
        <w:spacing w:before="120" w:after="240"/>
        <w:ind w:right="1837"/>
      </w:pPr>
      <w:r>
        <w:t xml:space="preserve">Und wer sorgt dafür, dass die Anlage während des laufenden Betriebs reibungslos funktioniert? Die </w:t>
      </w:r>
      <w:r w:rsidR="00315743">
        <w:t xml:space="preserve">Lifetime Services Experten von </w:t>
      </w:r>
      <w:r>
        <w:t>TGW. Kunden können diese Verantwortung dank individuell zugeschnittener Full Service</w:t>
      </w:r>
      <w:r w:rsidR="00C7277C">
        <w:t>-</w:t>
      </w:r>
      <w:r w:rsidR="00315743">
        <w:t>Pakete</w:t>
      </w:r>
      <w:bookmarkStart w:id="0" w:name="_GoBack"/>
      <w:bookmarkEnd w:id="0"/>
      <w:r w:rsidR="00315743">
        <w:t xml:space="preserve"> </w:t>
      </w:r>
      <w:r>
        <w:t xml:space="preserve">zum Teil oder komplett abgeben. </w:t>
      </w:r>
      <w:r w:rsidR="00DD641A">
        <w:t xml:space="preserve">Kunden </w:t>
      </w:r>
      <w:r w:rsidR="00C7277C">
        <w:t>von</w:t>
      </w:r>
      <w:r w:rsidR="00DD641A">
        <w:t xml:space="preserve"> TGW stellen ihr individuelles Servicepaket </w:t>
      </w:r>
      <w:r w:rsidR="00A25119">
        <w:t xml:space="preserve">aus unterschiedlichen </w:t>
      </w:r>
      <w:r w:rsidR="00DD641A">
        <w:t xml:space="preserve">Komponenten wie </w:t>
      </w:r>
      <w:r w:rsidR="00A25119">
        <w:t>Ersatz- und Verschleißteil-Service</w:t>
      </w:r>
      <w:r w:rsidR="00725B09">
        <w:t>,</w:t>
      </w:r>
      <w:r w:rsidR="00067388">
        <w:t xml:space="preserve"> </w:t>
      </w:r>
      <w:r w:rsidR="00DD641A">
        <w:t>Wartungs- und Hotlineservice und On-Site Services, durchgeführt</w:t>
      </w:r>
      <w:r w:rsidR="00725B09">
        <w:t xml:space="preserve"> von hochqualifizierten TGW On-Site Engineers</w:t>
      </w:r>
      <w:r w:rsidR="00DD641A">
        <w:t>, zusammen</w:t>
      </w:r>
      <w:r w:rsidR="00A25119">
        <w:t xml:space="preserve">. </w:t>
      </w:r>
      <w:r w:rsidR="00DD641A">
        <w:t xml:space="preserve">Je nach </w:t>
      </w:r>
      <w:r w:rsidR="00A91C13">
        <w:t>Gesamtlösung geht TGW hier neue Wege und bietet Full Service</w:t>
      </w:r>
      <w:r w:rsidR="00914354">
        <w:t>-</w:t>
      </w:r>
      <w:r w:rsidR="00A91C13">
        <w:t>Pakete paus</w:t>
      </w:r>
      <w:r w:rsidR="00C7277C">
        <w:t>chal und All-Inclusive bis zu zehn</w:t>
      </w:r>
      <w:r w:rsidR="00A91C13">
        <w:t xml:space="preserve"> Jahren nach </w:t>
      </w:r>
      <w:r w:rsidR="00914354">
        <w:t>der Inbetriebnahme der Anlage</w:t>
      </w:r>
      <w:r w:rsidR="00A91C13">
        <w:t xml:space="preserve"> an. Planungssicherheit für die Kunden steht auch hier im Mittelpunkt. </w:t>
      </w:r>
      <w:r w:rsidR="00A25119">
        <w:t>G</w:t>
      </w:r>
      <w:r w:rsidR="00725B09">
        <w:t xml:space="preserve">leichzeitig wird die Investition in </w:t>
      </w:r>
      <w:r w:rsidR="005D0CAC">
        <w:t>die</w:t>
      </w:r>
      <w:r w:rsidR="00725B09">
        <w:t xml:space="preserve"> Automatisierung durch ein </w:t>
      </w:r>
      <w:r w:rsidR="00A91C13">
        <w:t xml:space="preserve">ansprechendes </w:t>
      </w:r>
      <w:r w:rsidR="00241F90">
        <w:t>Gewährleistungspaket gestützt.</w:t>
      </w:r>
    </w:p>
    <w:p w14:paraId="3FFA3F7F" w14:textId="360E8499" w:rsidR="00725B09" w:rsidRDefault="00725B09" w:rsidP="00176B6A">
      <w:pPr>
        <w:spacing w:before="120" w:after="240"/>
        <w:ind w:right="1837"/>
      </w:pPr>
      <w:r>
        <w:t xml:space="preserve">„Unsere Kunden </w:t>
      </w:r>
      <w:r w:rsidR="005D0CAC">
        <w:t>vertrauen</w:t>
      </w:r>
      <w:r>
        <w:t xml:space="preserve"> auf unsere hochwertigen Produkte und die Verfügbarkeit unserer Systeme. Und </w:t>
      </w:r>
      <w:r w:rsidR="00241F90">
        <w:t>da auch</w:t>
      </w:r>
      <w:r>
        <w:t xml:space="preserve"> wir unsere</w:t>
      </w:r>
      <w:r w:rsidR="005D0CAC">
        <w:t>n</w:t>
      </w:r>
      <w:r>
        <w:t xml:space="preserve"> Systeme</w:t>
      </w:r>
      <w:r w:rsidR="007A1DCE">
        <w:t>n</w:t>
      </w:r>
      <w:r>
        <w:t xml:space="preserve"> </w:t>
      </w:r>
      <w:r w:rsidR="005D0CAC">
        <w:t>zu 100 Prozent vertrauen</w:t>
      </w:r>
      <w:r>
        <w:t xml:space="preserve">, bieten wir weitreichende Service-Optionen an. Jedes mit unseren Anlagen verbundene Risiko wird somit beseitigt“, betont Christoph Wolkerstorfer. „Unsere Kunden sollen sich auf ihre Kernaufgaben konzentrieren können, ohne sich um die genauen Logistikprozesse im automatisierten Lager Gedanken machen zu müssen. </w:t>
      </w:r>
      <w:r>
        <w:lastRenderedPageBreak/>
        <w:t>Wir wissen, wie die Anlage funktioniert und wie das System laufend verbessert werden kann.“</w:t>
      </w:r>
    </w:p>
    <w:p w14:paraId="1AAA3BE0" w14:textId="41CD9EDC" w:rsidR="00725B09" w:rsidRPr="00514071" w:rsidRDefault="00B174CD" w:rsidP="00176B6A">
      <w:pPr>
        <w:spacing w:before="120" w:after="240"/>
        <w:ind w:right="1837"/>
      </w:pPr>
      <w:r>
        <w:t xml:space="preserve">Um die 360-Grad-Perspektive komplett zu machen, lohnt sich ein Blick auf das Gesamtkonzept von TGW, das auf </w:t>
      </w:r>
      <w:r w:rsidR="00325DA1">
        <w:t xml:space="preserve">möglichst </w:t>
      </w:r>
      <w:r>
        <w:t xml:space="preserve">wenige Verschleißteile in den Anlagen setzt. </w:t>
      </w:r>
      <w:r w:rsidR="00325DA1">
        <w:t xml:space="preserve">Die </w:t>
      </w:r>
      <w:r w:rsidR="009F3946">
        <w:t xml:space="preserve">Nutzung von Standardkomponenten </w:t>
      </w:r>
      <w:r w:rsidR="00325DA1">
        <w:t xml:space="preserve">erleichtert Wartungen und ermöglicht kürzeste Wiederbeschaffungszeiten der jeweiligen </w:t>
      </w:r>
      <w:r w:rsidR="009F3946">
        <w:t>Ersatzteile. Christoph Wolkerstorfer weiß: „Tatsache ist</w:t>
      </w:r>
      <w:r w:rsidR="005D0CAC">
        <w:t>, dass w</w:t>
      </w:r>
      <w:r w:rsidR="009F3946">
        <w:t>ährend der ersten zehn bis 15 Jahre der Anlagenlaufzeit häufig dieselbe Summe wie die anfängliche Investition noch einmal in die Betriebskosten investiert</w:t>
      </w:r>
      <w:r w:rsidR="005D0CAC">
        <w:t xml:space="preserve"> wird</w:t>
      </w:r>
      <w:r w:rsidR="009F3946">
        <w:t xml:space="preserve">. Vertrauen Sie </w:t>
      </w:r>
      <w:r w:rsidR="005D0CAC">
        <w:t>TGW</w:t>
      </w:r>
      <w:r w:rsidR="009F3946">
        <w:t xml:space="preserve"> mit Ihrem Anlagenbetrieb, und Sie werden sich nie wieder Gedanken über Ihre Lebenszykluskosten machen müssen.“ Denn </w:t>
      </w:r>
      <w:r w:rsidR="009E48A8">
        <w:t xml:space="preserve">eine gut überlegte </w:t>
      </w:r>
      <w:r w:rsidR="005D0CAC">
        <w:t>Investitionsentscheidung</w:t>
      </w:r>
      <w:r w:rsidR="009E48A8">
        <w:t xml:space="preserve"> </w:t>
      </w:r>
      <w:r w:rsidR="00325DA1">
        <w:t xml:space="preserve">mit Fokus auf die TCO </w:t>
      </w:r>
      <w:r w:rsidR="009F3946">
        <w:t xml:space="preserve">ist definitiv besser, </w:t>
      </w:r>
      <w:r w:rsidR="00241F90">
        <w:t>als ein Blick in die Glaskugel.</w:t>
      </w:r>
    </w:p>
    <w:p w14:paraId="049FDE78" w14:textId="77777777" w:rsidR="00DF6DE9" w:rsidRPr="00CB101B" w:rsidRDefault="00C007D4" w:rsidP="00DF6DE9">
      <w:pPr>
        <w:tabs>
          <w:tab w:val="left" w:pos="7655"/>
        </w:tabs>
        <w:spacing w:before="120" w:after="240"/>
        <w:ind w:right="985"/>
        <w:rPr>
          <w:bCs/>
          <w:lang w:val="de-DE"/>
        </w:rPr>
      </w:pPr>
      <w:hyperlink r:id="rId8" w:history="1">
        <w:r w:rsidR="004A246C" w:rsidRPr="00CB101B">
          <w:rPr>
            <w:rStyle w:val="Hyperlink"/>
            <w:bCs/>
            <w:lang w:val="de-DE"/>
          </w:rPr>
          <w:t>www.tgw-group.com</w:t>
        </w:r>
      </w:hyperlink>
      <w:r w:rsidR="004A246C" w:rsidRPr="00CB101B">
        <w:rPr>
          <w:bCs/>
          <w:lang w:val="de-DE"/>
        </w:rPr>
        <w:t xml:space="preserve"> </w:t>
      </w:r>
    </w:p>
    <w:p w14:paraId="4B4A3FDA" w14:textId="77777777" w:rsidR="00DF6DE9" w:rsidRPr="00CB101B" w:rsidRDefault="00DF6DE9" w:rsidP="00DF6DE9">
      <w:pPr>
        <w:spacing w:before="240" w:after="120"/>
        <w:ind w:right="985"/>
        <w:rPr>
          <w:b/>
          <w:lang w:val="de-DE"/>
        </w:rPr>
      </w:pPr>
      <w:r w:rsidRPr="00CB101B">
        <w:rPr>
          <w:b/>
          <w:lang w:val="de-DE"/>
        </w:rPr>
        <w:t>Über die TGW Logistics Group:</w:t>
      </w:r>
    </w:p>
    <w:p w14:paraId="7A806C87" w14:textId="77777777" w:rsidR="00DF6DE9" w:rsidRPr="00CB101B" w:rsidRDefault="00DF6DE9" w:rsidP="00DF6DE9">
      <w:pPr>
        <w:spacing w:before="240" w:after="120"/>
        <w:ind w:right="985"/>
        <w:rPr>
          <w:lang w:val="de-DE"/>
        </w:rPr>
      </w:pPr>
      <w:r w:rsidRPr="00CB101B">
        <w:rPr>
          <w:lang w:val="de-DE"/>
        </w:rPr>
        <w:t xml:space="preserve">Die TGW Logistics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14:paraId="2BD06B2F" w14:textId="5C77E997" w:rsidR="00DF6DE9" w:rsidRPr="00CB101B" w:rsidRDefault="00DA47D0" w:rsidP="00DF6DE9">
      <w:pPr>
        <w:spacing w:before="240" w:after="120"/>
        <w:ind w:right="985"/>
        <w:rPr>
          <w:lang w:val="de-DE"/>
        </w:rPr>
      </w:pPr>
      <w:r>
        <w:rPr>
          <w:lang w:val="de-DE"/>
        </w:rPr>
        <w:t>Mit rund 2.6</w:t>
      </w:r>
      <w:r w:rsidR="00DF6DE9" w:rsidRPr="00CB101B">
        <w:rPr>
          <w:lang w:val="de-DE"/>
        </w:rPr>
        <w:t>00 Mitarbeitern weltweit realisiert die Gruppe Logistiklösungen für führende Unternehmen in verschiedensten Branchen. Dadurch erzielte die TGW Logistics Group im Wirtschaftsjahr 2015/16 Umsatzerlöse von € 532 Mio.</w:t>
      </w:r>
    </w:p>
    <w:p w14:paraId="75ACB287" w14:textId="77777777" w:rsidR="00DF6DE9" w:rsidRPr="00CB101B" w:rsidRDefault="00DF6DE9" w:rsidP="00DF6DE9">
      <w:pPr>
        <w:spacing w:before="240" w:after="120"/>
        <w:ind w:right="985"/>
        <w:rPr>
          <w:b/>
          <w:lang w:val="de-DE"/>
        </w:rPr>
      </w:pPr>
      <w:r w:rsidRPr="00CB101B">
        <w:rPr>
          <w:b/>
          <w:lang w:val="de-DE"/>
        </w:rPr>
        <w:t>Bilder:</w:t>
      </w:r>
    </w:p>
    <w:p w14:paraId="7D49D7AE" w14:textId="77777777" w:rsidR="00DF6DE9" w:rsidRPr="00CB101B" w:rsidRDefault="00DF6DE9" w:rsidP="00DF6DE9">
      <w:pPr>
        <w:spacing w:before="240" w:after="120"/>
        <w:ind w:right="985"/>
        <w:rPr>
          <w:lang w:val="de-DE"/>
        </w:rPr>
      </w:pPr>
      <w:r w:rsidRPr="00CB101B">
        <w:rPr>
          <w:lang w:val="de-DE"/>
        </w:rPr>
        <w:t>Abdruck mit Quellangabe und zu Presseberichten, die sich vorwiegend mit der TGW Logistics Group GmbH befassen, honorarfrei. Kein honorarfreier Abdruck für werbliche Zwecke.</w:t>
      </w:r>
    </w:p>
    <w:p w14:paraId="14E42B1F" w14:textId="77777777" w:rsidR="00DF6DE9" w:rsidRPr="00CB101B" w:rsidRDefault="00DF6DE9" w:rsidP="00DF6DE9">
      <w:pPr>
        <w:spacing w:before="240" w:after="120"/>
        <w:ind w:right="985"/>
        <w:rPr>
          <w:lang w:val="de-DE"/>
        </w:rPr>
      </w:pPr>
    </w:p>
    <w:p w14:paraId="1056EFF3" w14:textId="77777777" w:rsidR="00DF6DE9" w:rsidRPr="00CB101B" w:rsidRDefault="00DF6DE9" w:rsidP="00DF6DE9">
      <w:pPr>
        <w:spacing w:line="240" w:lineRule="auto"/>
        <w:ind w:right="985"/>
        <w:rPr>
          <w:b/>
          <w:lang w:val="de-DE"/>
        </w:rPr>
      </w:pPr>
      <w:r w:rsidRPr="00CB101B">
        <w:rPr>
          <w:b/>
          <w:lang w:val="de-DE"/>
        </w:rPr>
        <w:t>Kontakt:</w:t>
      </w:r>
    </w:p>
    <w:p w14:paraId="723FECC7" w14:textId="77777777" w:rsidR="00DF6DE9" w:rsidRPr="00CB101B" w:rsidRDefault="00DF6DE9" w:rsidP="00DF6DE9">
      <w:pPr>
        <w:spacing w:line="240" w:lineRule="auto"/>
        <w:ind w:right="985"/>
        <w:rPr>
          <w:lang w:val="de-DE"/>
        </w:rPr>
      </w:pPr>
      <w:r w:rsidRPr="00CB101B">
        <w:rPr>
          <w:lang w:val="de-DE"/>
        </w:rPr>
        <w:t>TGW Logistics Group GmbH</w:t>
      </w:r>
    </w:p>
    <w:p w14:paraId="196B94A4" w14:textId="77777777" w:rsidR="00DF6DE9" w:rsidRPr="00CB101B" w:rsidRDefault="00DF6DE9" w:rsidP="00DF6DE9">
      <w:pPr>
        <w:spacing w:line="240" w:lineRule="auto"/>
        <w:ind w:right="985"/>
        <w:rPr>
          <w:lang w:val="de-DE"/>
        </w:rPr>
      </w:pPr>
      <w:r w:rsidRPr="00CB101B">
        <w:rPr>
          <w:lang w:val="de-DE"/>
        </w:rPr>
        <w:t>A-4600 Wels, Collmannstraße 2</w:t>
      </w:r>
    </w:p>
    <w:p w14:paraId="4F322547" w14:textId="77777777" w:rsidR="00DF6DE9" w:rsidRPr="00CB101B" w:rsidRDefault="00DF6DE9" w:rsidP="00DF6DE9">
      <w:pPr>
        <w:spacing w:line="240" w:lineRule="auto"/>
        <w:ind w:right="985"/>
        <w:rPr>
          <w:lang w:val="de-DE"/>
        </w:rPr>
      </w:pPr>
      <w:r w:rsidRPr="00CB101B">
        <w:rPr>
          <w:lang w:val="de-DE"/>
        </w:rPr>
        <w:t>T: +43.(0)7242.486-0</w:t>
      </w:r>
    </w:p>
    <w:p w14:paraId="51CCFC7E" w14:textId="77777777" w:rsidR="00DF6DE9" w:rsidRPr="00CB101B" w:rsidRDefault="00DF6DE9" w:rsidP="00DF6DE9">
      <w:pPr>
        <w:spacing w:line="240" w:lineRule="auto"/>
        <w:ind w:right="985"/>
        <w:rPr>
          <w:lang w:val="de-DE"/>
        </w:rPr>
      </w:pPr>
      <w:r w:rsidRPr="00CB101B">
        <w:rPr>
          <w:lang w:val="de-DE"/>
        </w:rPr>
        <w:t>F: +43.(0)7242.486-31</w:t>
      </w:r>
    </w:p>
    <w:p w14:paraId="3FFF5699" w14:textId="77777777" w:rsidR="00DF6DE9" w:rsidRPr="00CB101B" w:rsidRDefault="00DF6DE9" w:rsidP="00DF6DE9">
      <w:pPr>
        <w:spacing w:line="240" w:lineRule="auto"/>
        <w:ind w:right="985"/>
        <w:rPr>
          <w:lang w:val="de-DE"/>
        </w:rPr>
      </w:pPr>
      <w:r w:rsidRPr="00CB101B">
        <w:rPr>
          <w:lang w:val="de-DE"/>
        </w:rPr>
        <w:t>E-Mail: tgw@tgw-group.com</w:t>
      </w:r>
    </w:p>
    <w:p w14:paraId="41AA09D8" w14:textId="77777777" w:rsidR="00DF6DE9" w:rsidRPr="00CB101B" w:rsidRDefault="00DF6DE9" w:rsidP="00DF6DE9">
      <w:pPr>
        <w:spacing w:line="240" w:lineRule="auto"/>
        <w:ind w:right="985"/>
        <w:rPr>
          <w:lang w:val="de-DE"/>
        </w:rPr>
      </w:pPr>
    </w:p>
    <w:p w14:paraId="33486A47" w14:textId="77777777" w:rsidR="00DF6DE9" w:rsidRPr="00CB101B" w:rsidRDefault="00DF6DE9" w:rsidP="00DF6DE9">
      <w:pPr>
        <w:spacing w:line="240" w:lineRule="auto"/>
        <w:ind w:right="985"/>
        <w:rPr>
          <w:b/>
          <w:lang w:val="de-DE"/>
        </w:rPr>
      </w:pPr>
      <w:r w:rsidRPr="00CB101B">
        <w:rPr>
          <w:b/>
          <w:lang w:val="de-DE"/>
        </w:rPr>
        <w:t>Pressekontakt:</w:t>
      </w:r>
    </w:p>
    <w:p w14:paraId="7C21F237" w14:textId="53CCDE35" w:rsidR="00DF6DE9" w:rsidRPr="00CB101B" w:rsidRDefault="00DF6DE9" w:rsidP="00DF6DE9">
      <w:pPr>
        <w:spacing w:line="240" w:lineRule="auto"/>
        <w:ind w:right="985"/>
        <w:rPr>
          <w:lang w:val="de-DE"/>
        </w:rPr>
      </w:pPr>
      <w:r w:rsidRPr="00CB101B">
        <w:rPr>
          <w:lang w:val="de-DE"/>
        </w:rPr>
        <w:t>Martin Kirchmayr</w:t>
      </w:r>
      <w:r w:rsidRPr="00CB101B">
        <w:rPr>
          <w:lang w:val="de-DE"/>
        </w:rPr>
        <w:tab/>
      </w:r>
      <w:r w:rsidRPr="00CB101B">
        <w:rPr>
          <w:lang w:val="de-DE"/>
        </w:rPr>
        <w:tab/>
      </w:r>
      <w:r w:rsidRPr="00CB101B">
        <w:rPr>
          <w:lang w:val="de-DE"/>
        </w:rPr>
        <w:tab/>
      </w:r>
      <w:r w:rsidRPr="00CB101B">
        <w:rPr>
          <w:lang w:val="de-DE"/>
        </w:rPr>
        <w:tab/>
        <w:t>Daniela Nowak</w:t>
      </w:r>
    </w:p>
    <w:p w14:paraId="3D5632AC" w14:textId="77777777" w:rsidR="00DF6DE9" w:rsidRPr="005E7A0F" w:rsidRDefault="00DF6DE9" w:rsidP="00DF6DE9">
      <w:pPr>
        <w:spacing w:line="240" w:lineRule="auto"/>
        <w:ind w:right="985"/>
        <w:rPr>
          <w:lang w:val="en-GB"/>
        </w:rPr>
      </w:pPr>
      <w:r w:rsidRPr="005E7A0F">
        <w:rPr>
          <w:lang w:val="en-GB"/>
        </w:rPr>
        <w:t>Marketing &amp; Communication Manager</w:t>
      </w:r>
      <w:r w:rsidRPr="005E7A0F">
        <w:rPr>
          <w:lang w:val="en-GB"/>
        </w:rPr>
        <w:tab/>
      </w:r>
      <w:r w:rsidRPr="005E7A0F">
        <w:rPr>
          <w:lang w:val="en-GB"/>
        </w:rPr>
        <w:tab/>
        <w:t>Marketing &amp; Communication Specialist</w:t>
      </w:r>
    </w:p>
    <w:p w14:paraId="2EE2D2B7" w14:textId="75757762" w:rsidR="00DF6DE9" w:rsidRPr="00CB101B" w:rsidRDefault="00DF6DE9" w:rsidP="00DF6DE9">
      <w:pPr>
        <w:spacing w:line="240" w:lineRule="auto"/>
        <w:ind w:right="985"/>
        <w:rPr>
          <w:lang w:val="de-DE"/>
        </w:rPr>
      </w:pPr>
      <w:r w:rsidRPr="00CB101B">
        <w:rPr>
          <w:lang w:val="de-DE"/>
        </w:rPr>
        <w:lastRenderedPageBreak/>
        <w:t>T: +43.(0)7242.486-1382</w:t>
      </w:r>
      <w:r w:rsidRPr="00CB101B">
        <w:rPr>
          <w:lang w:val="de-DE"/>
        </w:rPr>
        <w:tab/>
      </w:r>
      <w:r w:rsidRPr="00CB101B">
        <w:rPr>
          <w:lang w:val="de-DE"/>
        </w:rPr>
        <w:tab/>
      </w:r>
      <w:r w:rsidRPr="00CB101B">
        <w:rPr>
          <w:lang w:val="de-DE"/>
        </w:rPr>
        <w:tab/>
        <w:t>T: +43.(0)7242.486-1059</w:t>
      </w:r>
    </w:p>
    <w:p w14:paraId="4EBA9557" w14:textId="77777777" w:rsidR="00DF6DE9" w:rsidRPr="00CB101B" w:rsidRDefault="00DF6DE9" w:rsidP="00DF6DE9">
      <w:pPr>
        <w:spacing w:line="240" w:lineRule="auto"/>
        <w:ind w:right="985"/>
        <w:rPr>
          <w:lang w:val="de-DE"/>
        </w:rPr>
      </w:pPr>
      <w:r w:rsidRPr="00CB101B">
        <w:rPr>
          <w:lang w:val="de-DE"/>
        </w:rPr>
        <w:t>M: +43.(0)664.8187423</w:t>
      </w:r>
    </w:p>
    <w:p w14:paraId="670002CB" w14:textId="77777777" w:rsidR="00DF6DE9" w:rsidRPr="00CB101B" w:rsidRDefault="00DF6DE9" w:rsidP="00DF6DE9">
      <w:pPr>
        <w:spacing w:line="240" w:lineRule="auto"/>
        <w:ind w:right="985"/>
        <w:rPr>
          <w:lang w:val="de-DE"/>
        </w:rPr>
      </w:pPr>
      <w:r w:rsidRPr="00CB101B">
        <w:rPr>
          <w:lang w:val="de-DE"/>
        </w:rPr>
        <w:t>martin.kirchmayr@tgw-group.com</w:t>
      </w:r>
      <w:r w:rsidRPr="00CB101B">
        <w:rPr>
          <w:lang w:val="de-DE"/>
        </w:rPr>
        <w:tab/>
      </w:r>
      <w:r w:rsidRPr="00CB101B">
        <w:rPr>
          <w:lang w:val="de-DE"/>
        </w:rPr>
        <w:tab/>
        <w:t>daniela.nowak@tgw-group.com</w:t>
      </w:r>
    </w:p>
    <w:p w14:paraId="160D7D5E" w14:textId="77777777" w:rsidR="00DF6DE9" w:rsidRPr="00CB101B" w:rsidRDefault="00DF6DE9" w:rsidP="004878DA">
      <w:pPr>
        <w:spacing w:before="120" w:after="240"/>
        <w:ind w:right="1837"/>
        <w:rPr>
          <w:rFonts w:cs="Arial"/>
          <w:szCs w:val="20"/>
          <w:lang w:val="de-DE"/>
        </w:rPr>
      </w:pPr>
    </w:p>
    <w:sectPr w:rsidR="00DF6DE9" w:rsidRPr="00CB101B" w:rsidSect="00193DF6">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683AC" w14:textId="77777777" w:rsidR="00C5620E" w:rsidRDefault="00C5620E" w:rsidP="00764006">
      <w:pPr>
        <w:spacing w:line="240" w:lineRule="auto"/>
      </w:pPr>
      <w:r>
        <w:separator/>
      </w:r>
    </w:p>
  </w:endnote>
  <w:endnote w:type="continuationSeparator" w:id="0">
    <w:p w14:paraId="6EF15E1E" w14:textId="77777777" w:rsidR="00C5620E" w:rsidRDefault="00C5620E"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ZShuTi">
    <w:altName w:val="方正舒体"/>
    <w:charset w:val="86"/>
    <w:family w:val="auto"/>
    <w:pitch w:val="variable"/>
    <w:sig w:usb0="00000003"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2728C" w:rsidRPr="00252CD7" w14:paraId="7A809051" w14:textId="77777777" w:rsidTr="00C15D91">
      <w:tc>
        <w:tcPr>
          <w:tcW w:w="6474" w:type="dxa"/>
        </w:tcPr>
        <w:p w14:paraId="28204497" w14:textId="77777777" w:rsidR="00A2728C" w:rsidRPr="00252CD7" w:rsidRDefault="00A2728C"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78F42134" w14:textId="77777777" w:rsidR="00A2728C" w:rsidRPr="00252CD7" w:rsidRDefault="00A2728C" w:rsidP="007D0E42">
          <w:pPr>
            <w:pStyle w:val="Fuzeile"/>
            <w:rPr>
              <w:sz w:val="16"/>
            </w:rPr>
          </w:pPr>
        </w:p>
      </w:tc>
      <w:tc>
        <w:tcPr>
          <w:tcW w:w="283" w:type="dxa"/>
          <w:tcBorders>
            <w:left w:val="single" w:sz="12" w:space="0" w:color="C00418" w:themeColor="accent1"/>
          </w:tcBorders>
        </w:tcPr>
        <w:p w14:paraId="48AACB9D" w14:textId="77777777" w:rsidR="00A2728C" w:rsidRPr="00252CD7" w:rsidRDefault="00A2728C" w:rsidP="007D0E42">
          <w:pPr>
            <w:pStyle w:val="Fuzeile"/>
            <w:rPr>
              <w:sz w:val="16"/>
            </w:rPr>
          </w:pPr>
        </w:p>
      </w:tc>
      <w:tc>
        <w:tcPr>
          <w:tcW w:w="2438" w:type="dxa"/>
          <w:vAlign w:val="center"/>
        </w:tcPr>
        <w:p w14:paraId="5B522C76" w14:textId="106BBCBA" w:rsidR="00A2728C" w:rsidRPr="00252CD7" w:rsidRDefault="00A2728C" w:rsidP="00252CD7">
          <w:pPr>
            <w:pStyle w:val="FuzeileFirmendaten"/>
            <w:rPr>
              <w:sz w:val="16"/>
            </w:rPr>
          </w:pPr>
          <w:r>
            <w:fldChar w:fldCharType="begin"/>
          </w:r>
          <w:r>
            <w:instrText xml:space="preserve"> PAGE   \* MERGEFORMAT </w:instrText>
          </w:r>
          <w:r>
            <w:fldChar w:fldCharType="separate"/>
          </w:r>
          <w:r w:rsidR="00C007D4" w:rsidRPr="00C007D4">
            <w:rPr>
              <w:noProof/>
              <w:sz w:val="16"/>
            </w:rPr>
            <w:t>3</w:t>
          </w:r>
          <w:r>
            <w:fldChar w:fldCharType="end"/>
          </w:r>
          <w:r>
            <w:rPr>
              <w:sz w:val="16"/>
            </w:rPr>
            <w:t xml:space="preserve"> / </w:t>
          </w:r>
          <w:r w:rsidR="00C007D4">
            <w:fldChar w:fldCharType="begin"/>
          </w:r>
          <w:r w:rsidR="00C007D4">
            <w:instrText xml:space="preserve"> NUMPAGES   \* MERGEFORMAT </w:instrText>
          </w:r>
          <w:r w:rsidR="00C007D4">
            <w:fldChar w:fldCharType="separate"/>
          </w:r>
          <w:r w:rsidR="00C007D4" w:rsidRPr="00C007D4">
            <w:rPr>
              <w:noProof/>
              <w:sz w:val="16"/>
            </w:rPr>
            <w:t>5</w:t>
          </w:r>
          <w:r w:rsidR="00C007D4">
            <w:rPr>
              <w:noProof/>
              <w:sz w:val="16"/>
            </w:rPr>
            <w:fldChar w:fldCharType="end"/>
          </w:r>
        </w:p>
      </w:tc>
    </w:tr>
  </w:tbl>
  <w:p w14:paraId="312D7162" w14:textId="77777777" w:rsidR="00A2728C" w:rsidRDefault="00A272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2ABD7" w14:textId="77777777" w:rsidR="00C5620E" w:rsidRDefault="00C5620E" w:rsidP="00764006">
      <w:pPr>
        <w:spacing w:line="240" w:lineRule="auto"/>
      </w:pPr>
      <w:r>
        <w:separator/>
      </w:r>
    </w:p>
  </w:footnote>
  <w:footnote w:type="continuationSeparator" w:id="0">
    <w:p w14:paraId="393DE0EF" w14:textId="77777777" w:rsidR="00C5620E" w:rsidRDefault="00C5620E"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DEDAC" w14:textId="77777777" w:rsidR="00A2728C" w:rsidRDefault="00A2728C" w:rsidP="00764006">
    <w:pPr>
      <w:pStyle w:val="Kopfzeile"/>
      <w:jc w:val="right"/>
    </w:pPr>
    <w:r>
      <w:br/>
    </w:r>
  </w:p>
  <w:p w14:paraId="3B03B8F3" w14:textId="77777777" w:rsidR="00A2728C" w:rsidRPr="00C15D91" w:rsidRDefault="00A2728C" w:rsidP="00C00CC7">
    <w:pPr>
      <w:pStyle w:val="Dokumententitel"/>
    </w:pPr>
    <w:r>
      <w:rPr>
        <w:lang w:eastAsia="de-AT"/>
      </w:rPr>
      <w:drawing>
        <wp:anchor distT="0" distB="0" distL="114300" distR="114300" simplePos="0" relativeHeight="251658240" behindDoc="0" locked="0" layoutInCell="1" allowOverlap="1" wp14:anchorId="336E498E" wp14:editId="29088F59">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73A"/>
    <w:multiLevelType w:val="hybridMultilevel"/>
    <w:tmpl w:val="4EEAB800"/>
    <w:lvl w:ilvl="0" w:tplc="5F70CCAA">
      <w:start w:val="1"/>
      <w:numFmt w:val="bullet"/>
      <w:lvlText w:val=""/>
      <w:lvlJc w:val="left"/>
      <w:pPr>
        <w:ind w:left="720" w:hanging="360"/>
      </w:pPr>
      <w:rPr>
        <w:rFonts w:ascii="Wingdings" w:eastAsiaTheme="minorHAnsi" w:hAnsi="Wingdings"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D3016A4"/>
    <w:multiLevelType w:val="hybridMultilevel"/>
    <w:tmpl w:val="87D6B066"/>
    <w:lvl w:ilvl="0" w:tplc="CEFC15B4">
      <w:start w:val="1"/>
      <w:numFmt w:val="bullet"/>
      <w:lvlText w:val=""/>
      <w:lvlJc w:val="left"/>
      <w:pPr>
        <w:tabs>
          <w:tab w:val="num" w:pos="720"/>
        </w:tabs>
        <w:ind w:left="720" w:hanging="360"/>
      </w:pPr>
      <w:rPr>
        <w:rFonts w:ascii="Wingdings" w:hAnsi="Wingdings" w:hint="default"/>
      </w:rPr>
    </w:lvl>
    <w:lvl w:ilvl="1" w:tplc="11F64B36" w:tentative="1">
      <w:start w:val="1"/>
      <w:numFmt w:val="bullet"/>
      <w:lvlText w:val=""/>
      <w:lvlJc w:val="left"/>
      <w:pPr>
        <w:tabs>
          <w:tab w:val="num" w:pos="1440"/>
        </w:tabs>
        <w:ind w:left="1440" w:hanging="360"/>
      </w:pPr>
      <w:rPr>
        <w:rFonts w:ascii="Wingdings" w:hAnsi="Wingdings" w:hint="default"/>
      </w:rPr>
    </w:lvl>
    <w:lvl w:ilvl="2" w:tplc="E55A3A22" w:tentative="1">
      <w:start w:val="1"/>
      <w:numFmt w:val="bullet"/>
      <w:lvlText w:val=""/>
      <w:lvlJc w:val="left"/>
      <w:pPr>
        <w:tabs>
          <w:tab w:val="num" w:pos="2160"/>
        </w:tabs>
        <w:ind w:left="2160" w:hanging="360"/>
      </w:pPr>
      <w:rPr>
        <w:rFonts w:ascii="Wingdings" w:hAnsi="Wingdings" w:hint="default"/>
      </w:rPr>
    </w:lvl>
    <w:lvl w:ilvl="3" w:tplc="90B036E2" w:tentative="1">
      <w:start w:val="1"/>
      <w:numFmt w:val="bullet"/>
      <w:lvlText w:val=""/>
      <w:lvlJc w:val="left"/>
      <w:pPr>
        <w:tabs>
          <w:tab w:val="num" w:pos="2880"/>
        </w:tabs>
        <w:ind w:left="2880" w:hanging="360"/>
      </w:pPr>
      <w:rPr>
        <w:rFonts w:ascii="Wingdings" w:hAnsi="Wingdings" w:hint="default"/>
      </w:rPr>
    </w:lvl>
    <w:lvl w:ilvl="4" w:tplc="D87CCB7A" w:tentative="1">
      <w:start w:val="1"/>
      <w:numFmt w:val="bullet"/>
      <w:lvlText w:val=""/>
      <w:lvlJc w:val="left"/>
      <w:pPr>
        <w:tabs>
          <w:tab w:val="num" w:pos="3600"/>
        </w:tabs>
        <w:ind w:left="3600" w:hanging="360"/>
      </w:pPr>
      <w:rPr>
        <w:rFonts w:ascii="Wingdings" w:hAnsi="Wingdings" w:hint="default"/>
      </w:rPr>
    </w:lvl>
    <w:lvl w:ilvl="5" w:tplc="83EC66F2" w:tentative="1">
      <w:start w:val="1"/>
      <w:numFmt w:val="bullet"/>
      <w:lvlText w:val=""/>
      <w:lvlJc w:val="left"/>
      <w:pPr>
        <w:tabs>
          <w:tab w:val="num" w:pos="4320"/>
        </w:tabs>
        <w:ind w:left="4320" w:hanging="360"/>
      </w:pPr>
      <w:rPr>
        <w:rFonts w:ascii="Wingdings" w:hAnsi="Wingdings" w:hint="default"/>
      </w:rPr>
    </w:lvl>
    <w:lvl w:ilvl="6" w:tplc="F1CA7F6C" w:tentative="1">
      <w:start w:val="1"/>
      <w:numFmt w:val="bullet"/>
      <w:lvlText w:val=""/>
      <w:lvlJc w:val="left"/>
      <w:pPr>
        <w:tabs>
          <w:tab w:val="num" w:pos="5040"/>
        </w:tabs>
        <w:ind w:left="5040" w:hanging="360"/>
      </w:pPr>
      <w:rPr>
        <w:rFonts w:ascii="Wingdings" w:hAnsi="Wingdings" w:hint="default"/>
      </w:rPr>
    </w:lvl>
    <w:lvl w:ilvl="7" w:tplc="D0305CB4" w:tentative="1">
      <w:start w:val="1"/>
      <w:numFmt w:val="bullet"/>
      <w:lvlText w:val=""/>
      <w:lvlJc w:val="left"/>
      <w:pPr>
        <w:tabs>
          <w:tab w:val="num" w:pos="5760"/>
        </w:tabs>
        <w:ind w:left="5760" w:hanging="360"/>
      </w:pPr>
      <w:rPr>
        <w:rFonts w:ascii="Wingdings" w:hAnsi="Wingdings" w:hint="default"/>
      </w:rPr>
    </w:lvl>
    <w:lvl w:ilvl="8" w:tplc="03AEA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2854A26"/>
    <w:multiLevelType w:val="hybridMultilevel"/>
    <w:tmpl w:val="A55688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6ED56B9"/>
    <w:multiLevelType w:val="hybridMultilevel"/>
    <w:tmpl w:val="094E32DA"/>
    <w:lvl w:ilvl="0" w:tplc="6AC0B234">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F85459"/>
    <w:multiLevelType w:val="hybridMultilevel"/>
    <w:tmpl w:val="B266824C"/>
    <w:lvl w:ilvl="0" w:tplc="3E00D2AC">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2E213E1"/>
    <w:multiLevelType w:val="hybridMultilevel"/>
    <w:tmpl w:val="2A3214F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0560D2"/>
    <w:multiLevelType w:val="hybridMultilevel"/>
    <w:tmpl w:val="1F648B1A"/>
    <w:lvl w:ilvl="0" w:tplc="CFC657C8">
      <w:numFmt w:val="bullet"/>
      <w:lvlText w:val="-"/>
      <w:lvlJc w:val="left"/>
      <w:pPr>
        <w:ind w:left="720" w:hanging="360"/>
      </w:pPr>
      <w:rPr>
        <w:rFonts w:ascii="Calibri" w:eastAsia="Calibri" w:hAnsi="Calibri"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4AF90884"/>
    <w:multiLevelType w:val="hybridMultilevel"/>
    <w:tmpl w:val="65CE2FCE"/>
    <w:lvl w:ilvl="0" w:tplc="5C025452">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E7D59E0"/>
    <w:multiLevelType w:val="hybridMultilevel"/>
    <w:tmpl w:val="0DB2D68E"/>
    <w:lvl w:ilvl="0" w:tplc="AE1C0EDA">
      <w:start w:val="1"/>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02319A8"/>
    <w:multiLevelType w:val="hybridMultilevel"/>
    <w:tmpl w:val="2EC45C9E"/>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0DF45A4"/>
    <w:multiLevelType w:val="hybridMultilevel"/>
    <w:tmpl w:val="A9E8A4D8"/>
    <w:lvl w:ilvl="0" w:tplc="6926569C">
      <w:start w:val="1"/>
      <w:numFmt w:val="bullet"/>
      <w:lvlText w:val=""/>
      <w:lvlJc w:val="left"/>
      <w:pPr>
        <w:tabs>
          <w:tab w:val="num" w:pos="720"/>
        </w:tabs>
        <w:ind w:left="720" w:hanging="360"/>
      </w:pPr>
      <w:rPr>
        <w:rFonts w:ascii="Wingdings" w:hAnsi="Wingdings" w:hint="default"/>
      </w:rPr>
    </w:lvl>
    <w:lvl w:ilvl="1" w:tplc="04EAFD78" w:tentative="1">
      <w:start w:val="1"/>
      <w:numFmt w:val="bullet"/>
      <w:lvlText w:val=""/>
      <w:lvlJc w:val="left"/>
      <w:pPr>
        <w:tabs>
          <w:tab w:val="num" w:pos="1440"/>
        </w:tabs>
        <w:ind w:left="1440" w:hanging="360"/>
      </w:pPr>
      <w:rPr>
        <w:rFonts w:ascii="Wingdings" w:hAnsi="Wingdings" w:hint="default"/>
      </w:rPr>
    </w:lvl>
    <w:lvl w:ilvl="2" w:tplc="6A3C1D08" w:tentative="1">
      <w:start w:val="1"/>
      <w:numFmt w:val="bullet"/>
      <w:lvlText w:val=""/>
      <w:lvlJc w:val="left"/>
      <w:pPr>
        <w:tabs>
          <w:tab w:val="num" w:pos="2160"/>
        </w:tabs>
        <w:ind w:left="2160" w:hanging="360"/>
      </w:pPr>
      <w:rPr>
        <w:rFonts w:ascii="Wingdings" w:hAnsi="Wingdings" w:hint="default"/>
      </w:rPr>
    </w:lvl>
    <w:lvl w:ilvl="3" w:tplc="070E15A8" w:tentative="1">
      <w:start w:val="1"/>
      <w:numFmt w:val="bullet"/>
      <w:lvlText w:val=""/>
      <w:lvlJc w:val="left"/>
      <w:pPr>
        <w:tabs>
          <w:tab w:val="num" w:pos="2880"/>
        </w:tabs>
        <w:ind w:left="2880" w:hanging="360"/>
      </w:pPr>
      <w:rPr>
        <w:rFonts w:ascii="Wingdings" w:hAnsi="Wingdings" w:hint="default"/>
      </w:rPr>
    </w:lvl>
    <w:lvl w:ilvl="4" w:tplc="2FC289FE" w:tentative="1">
      <w:start w:val="1"/>
      <w:numFmt w:val="bullet"/>
      <w:lvlText w:val=""/>
      <w:lvlJc w:val="left"/>
      <w:pPr>
        <w:tabs>
          <w:tab w:val="num" w:pos="3600"/>
        </w:tabs>
        <w:ind w:left="3600" w:hanging="360"/>
      </w:pPr>
      <w:rPr>
        <w:rFonts w:ascii="Wingdings" w:hAnsi="Wingdings" w:hint="default"/>
      </w:rPr>
    </w:lvl>
    <w:lvl w:ilvl="5" w:tplc="7D5CAE5E" w:tentative="1">
      <w:start w:val="1"/>
      <w:numFmt w:val="bullet"/>
      <w:lvlText w:val=""/>
      <w:lvlJc w:val="left"/>
      <w:pPr>
        <w:tabs>
          <w:tab w:val="num" w:pos="4320"/>
        </w:tabs>
        <w:ind w:left="4320" w:hanging="360"/>
      </w:pPr>
      <w:rPr>
        <w:rFonts w:ascii="Wingdings" w:hAnsi="Wingdings" w:hint="default"/>
      </w:rPr>
    </w:lvl>
    <w:lvl w:ilvl="6" w:tplc="ED42AA8E" w:tentative="1">
      <w:start w:val="1"/>
      <w:numFmt w:val="bullet"/>
      <w:lvlText w:val=""/>
      <w:lvlJc w:val="left"/>
      <w:pPr>
        <w:tabs>
          <w:tab w:val="num" w:pos="5040"/>
        </w:tabs>
        <w:ind w:left="5040" w:hanging="360"/>
      </w:pPr>
      <w:rPr>
        <w:rFonts w:ascii="Wingdings" w:hAnsi="Wingdings" w:hint="default"/>
      </w:rPr>
    </w:lvl>
    <w:lvl w:ilvl="7" w:tplc="A6A80962" w:tentative="1">
      <w:start w:val="1"/>
      <w:numFmt w:val="bullet"/>
      <w:lvlText w:val=""/>
      <w:lvlJc w:val="left"/>
      <w:pPr>
        <w:tabs>
          <w:tab w:val="num" w:pos="5760"/>
        </w:tabs>
        <w:ind w:left="5760" w:hanging="360"/>
      </w:pPr>
      <w:rPr>
        <w:rFonts w:ascii="Wingdings" w:hAnsi="Wingdings" w:hint="default"/>
      </w:rPr>
    </w:lvl>
    <w:lvl w:ilvl="8" w:tplc="7822188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96AAA"/>
    <w:multiLevelType w:val="hybridMultilevel"/>
    <w:tmpl w:val="0A98E4BA"/>
    <w:lvl w:ilvl="0" w:tplc="2D129A5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3DE073A"/>
    <w:multiLevelType w:val="hybridMultilevel"/>
    <w:tmpl w:val="7FD8FBB8"/>
    <w:lvl w:ilvl="0" w:tplc="DE16917A">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9C33EE6"/>
    <w:multiLevelType w:val="hybridMultilevel"/>
    <w:tmpl w:val="6FFA45F2"/>
    <w:lvl w:ilvl="0" w:tplc="D8F84C48">
      <w:start w:val="1"/>
      <w:numFmt w:val="bullet"/>
      <w:lvlText w:val=""/>
      <w:lvlJc w:val="left"/>
      <w:pPr>
        <w:tabs>
          <w:tab w:val="num" w:pos="720"/>
        </w:tabs>
        <w:ind w:left="720" w:hanging="360"/>
      </w:pPr>
      <w:rPr>
        <w:rFonts w:ascii="Wingdings" w:hAnsi="Wingdings" w:hint="default"/>
      </w:rPr>
    </w:lvl>
    <w:lvl w:ilvl="1" w:tplc="BA92EBA2" w:tentative="1">
      <w:start w:val="1"/>
      <w:numFmt w:val="bullet"/>
      <w:lvlText w:val=""/>
      <w:lvlJc w:val="left"/>
      <w:pPr>
        <w:tabs>
          <w:tab w:val="num" w:pos="1440"/>
        </w:tabs>
        <w:ind w:left="1440" w:hanging="360"/>
      </w:pPr>
      <w:rPr>
        <w:rFonts w:ascii="Wingdings" w:hAnsi="Wingdings" w:hint="default"/>
      </w:rPr>
    </w:lvl>
    <w:lvl w:ilvl="2" w:tplc="3C3EA2F8" w:tentative="1">
      <w:start w:val="1"/>
      <w:numFmt w:val="bullet"/>
      <w:lvlText w:val=""/>
      <w:lvlJc w:val="left"/>
      <w:pPr>
        <w:tabs>
          <w:tab w:val="num" w:pos="2160"/>
        </w:tabs>
        <w:ind w:left="2160" w:hanging="360"/>
      </w:pPr>
      <w:rPr>
        <w:rFonts w:ascii="Wingdings" w:hAnsi="Wingdings" w:hint="default"/>
      </w:rPr>
    </w:lvl>
    <w:lvl w:ilvl="3" w:tplc="AF725380" w:tentative="1">
      <w:start w:val="1"/>
      <w:numFmt w:val="bullet"/>
      <w:lvlText w:val=""/>
      <w:lvlJc w:val="left"/>
      <w:pPr>
        <w:tabs>
          <w:tab w:val="num" w:pos="2880"/>
        </w:tabs>
        <w:ind w:left="2880" w:hanging="360"/>
      </w:pPr>
      <w:rPr>
        <w:rFonts w:ascii="Wingdings" w:hAnsi="Wingdings" w:hint="default"/>
      </w:rPr>
    </w:lvl>
    <w:lvl w:ilvl="4" w:tplc="E166B91C" w:tentative="1">
      <w:start w:val="1"/>
      <w:numFmt w:val="bullet"/>
      <w:lvlText w:val=""/>
      <w:lvlJc w:val="left"/>
      <w:pPr>
        <w:tabs>
          <w:tab w:val="num" w:pos="3600"/>
        </w:tabs>
        <w:ind w:left="3600" w:hanging="360"/>
      </w:pPr>
      <w:rPr>
        <w:rFonts w:ascii="Wingdings" w:hAnsi="Wingdings" w:hint="default"/>
      </w:rPr>
    </w:lvl>
    <w:lvl w:ilvl="5" w:tplc="13E8EAFE" w:tentative="1">
      <w:start w:val="1"/>
      <w:numFmt w:val="bullet"/>
      <w:lvlText w:val=""/>
      <w:lvlJc w:val="left"/>
      <w:pPr>
        <w:tabs>
          <w:tab w:val="num" w:pos="4320"/>
        </w:tabs>
        <w:ind w:left="4320" w:hanging="360"/>
      </w:pPr>
      <w:rPr>
        <w:rFonts w:ascii="Wingdings" w:hAnsi="Wingdings" w:hint="default"/>
      </w:rPr>
    </w:lvl>
    <w:lvl w:ilvl="6" w:tplc="B45E036E" w:tentative="1">
      <w:start w:val="1"/>
      <w:numFmt w:val="bullet"/>
      <w:lvlText w:val=""/>
      <w:lvlJc w:val="left"/>
      <w:pPr>
        <w:tabs>
          <w:tab w:val="num" w:pos="5040"/>
        </w:tabs>
        <w:ind w:left="5040" w:hanging="360"/>
      </w:pPr>
      <w:rPr>
        <w:rFonts w:ascii="Wingdings" w:hAnsi="Wingdings" w:hint="default"/>
      </w:rPr>
    </w:lvl>
    <w:lvl w:ilvl="7" w:tplc="E0BE54C8" w:tentative="1">
      <w:start w:val="1"/>
      <w:numFmt w:val="bullet"/>
      <w:lvlText w:val=""/>
      <w:lvlJc w:val="left"/>
      <w:pPr>
        <w:tabs>
          <w:tab w:val="num" w:pos="5760"/>
        </w:tabs>
        <w:ind w:left="5760" w:hanging="360"/>
      </w:pPr>
      <w:rPr>
        <w:rFonts w:ascii="Wingdings" w:hAnsi="Wingdings" w:hint="default"/>
      </w:rPr>
    </w:lvl>
    <w:lvl w:ilvl="8" w:tplc="E6D8AD2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AF3790"/>
    <w:multiLevelType w:val="hybridMultilevel"/>
    <w:tmpl w:val="83302AF6"/>
    <w:lvl w:ilvl="0" w:tplc="5512E8F4">
      <w:start w:val="360"/>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5"/>
  </w:num>
  <w:num w:numId="2">
    <w:abstractNumId w:val="15"/>
    <w:lvlOverride w:ilvl="0">
      <w:startOverride w:val="1"/>
    </w:lvlOverride>
  </w:num>
  <w:num w:numId="3">
    <w:abstractNumId w:val="8"/>
  </w:num>
  <w:num w:numId="4">
    <w:abstractNumId w:val="19"/>
  </w:num>
  <w:num w:numId="5">
    <w:abstractNumId w:val="7"/>
  </w:num>
  <w:num w:numId="6">
    <w:abstractNumId w:val="2"/>
  </w:num>
  <w:num w:numId="7">
    <w:abstractNumId w:val="14"/>
  </w:num>
  <w:num w:numId="8">
    <w:abstractNumId w:val="9"/>
  </w:num>
  <w:num w:numId="9">
    <w:abstractNumId w:val="17"/>
  </w:num>
  <w:num w:numId="10">
    <w:abstractNumId w:val="1"/>
  </w:num>
  <w:num w:numId="11">
    <w:abstractNumId w:val="13"/>
  </w:num>
  <w:num w:numId="12">
    <w:abstractNumId w:val="12"/>
  </w:num>
  <w:num w:numId="13">
    <w:abstractNumId w:val="5"/>
  </w:num>
  <w:num w:numId="14">
    <w:abstractNumId w:val="3"/>
  </w:num>
  <w:num w:numId="15">
    <w:abstractNumId w:val="0"/>
  </w:num>
  <w:num w:numId="16">
    <w:abstractNumId w:val="6"/>
  </w:num>
  <w:num w:numId="17">
    <w:abstractNumId w:val="11"/>
  </w:num>
  <w:num w:numId="18">
    <w:abstractNumId w:val="4"/>
  </w:num>
  <w:num w:numId="19">
    <w:abstractNumId w:val="10"/>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0239F"/>
    <w:rsid w:val="00012ADE"/>
    <w:rsid w:val="00012C49"/>
    <w:rsid w:val="000154FB"/>
    <w:rsid w:val="00015B7E"/>
    <w:rsid w:val="00017061"/>
    <w:rsid w:val="000178AA"/>
    <w:rsid w:val="0002544F"/>
    <w:rsid w:val="00031FF4"/>
    <w:rsid w:val="00033B03"/>
    <w:rsid w:val="00033DA1"/>
    <w:rsid w:val="000378F5"/>
    <w:rsid w:val="00050391"/>
    <w:rsid w:val="00054F52"/>
    <w:rsid w:val="000613C1"/>
    <w:rsid w:val="00062B40"/>
    <w:rsid w:val="00064B27"/>
    <w:rsid w:val="00067388"/>
    <w:rsid w:val="000926D1"/>
    <w:rsid w:val="00093386"/>
    <w:rsid w:val="00097CF1"/>
    <w:rsid w:val="000A490F"/>
    <w:rsid w:val="000B52A4"/>
    <w:rsid w:val="000B5FAE"/>
    <w:rsid w:val="000C7643"/>
    <w:rsid w:val="000D4E85"/>
    <w:rsid w:val="000D5C4E"/>
    <w:rsid w:val="000F504C"/>
    <w:rsid w:val="000F7D85"/>
    <w:rsid w:val="00100002"/>
    <w:rsid w:val="00102B91"/>
    <w:rsid w:val="00103930"/>
    <w:rsid w:val="0010586A"/>
    <w:rsid w:val="00114062"/>
    <w:rsid w:val="00126786"/>
    <w:rsid w:val="00140079"/>
    <w:rsid w:val="00144772"/>
    <w:rsid w:val="00160204"/>
    <w:rsid w:val="00166437"/>
    <w:rsid w:val="001671F2"/>
    <w:rsid w:val="0017018E"/>
    <w:rsid w:val="001704C6"/>
    <w:rsid w:val="00176B6A"/>
    <w:rsid w:val="00183096"/>
    <w:rsid w:val="00187B30"/>
    <w:rsid w:val="00193DF6"/>
    <w:rsid w:val="001966E7"/>
    <w:rsid w:val="00197F40"/>
    <w:rsid w:val="001B4FE5"/>
    <w:rsid w:val="001D4AF8"/>
    <w:rsid w:val="001D7506"/>
    <w:rsid w:val="001E1384"/>
    <w:rsid w:val="001E7058"/>
    <w:rsid w:val="0022097E"/>
    <w:rsid w:val="0022241A"/>
    <w:rsid w:val="00222B47"/>
    <w:rsid w:val="00223844"/>
    <w:rsid w:val="00233899"/>
    <w:rsid w:val="00241F90"/>
    <w:rsid w:val="00252CD7"/>
    <w:rsid w:val="00253A09"/>
    <w:rsid w:val="00256620"/>
    <w:rsid w:val="00260DC3"/>
    <w:rsid w:val="0026426C"/>
    <w:rsid w:val="0026487A"/>
    <w:rsid w:val="00270603"/>
    <w:rsid w:val="00272D0E"/>
    <w:rsid w:val="00282374"/>
    <w:rsid w:val="00292EE3"/>
    <w:rsid w:val="002933D3"/>
    <w:rsid w:val="0029396E"/>
    <w:rsid w:val="00296885"/>
    <w:rsid w:val="002970D8"/>
    <w:rsid w:val="002A1B17"/>
    <w:rsid w:val="002A1B9A"/>
    <w:rsid w:val="002A2A4E"/>
    <w:rsid w:val="002B0378"/>
    <w:rsid w:val="002B1D11"/>
    <w:rsid w:val="002C1107"/>
    <w:rsid w:val="002F5F25"/>
    <w:rsid w:val="002F76F5"/>
    <w:rsid w:val="00315743"/>
    <w:rsid w:val="003201AD"/>
    <w:rsid w:val="00325DA1"/>
    <w:rsid w:val="003266F8"/>
    <w:rsid w:val="00327EB1"/>
    <w:rsid w:val="00332D2B"/>
    <w:rsid w:val="00333AF8"/>
    <w:rsid w:val="003410B5"/>
    <w:rsid w:val="00344DFC"/>
    <w:rsid w:val="00350FFE"/>
    <w:rsid w:val="00353BB1"/>
    <w:rsid w:val="003549D6"/>
    <w:rsid w:val="003572A1"/>
    <w:rsid w:val="00363283"/>
    <w:rsid w:val="003676F5"/>
    <w:rsid w:val="0038097C"/>
    <w:rsid w:val="0038236F"/>
    <w:rsid w:val="00391499"/>
    <w:rsid w:val="003937BE"/>
    <w:rsid w:val="00397BA9"/>
    <w:rsid w:val="003A03C1"/>
    <w:rsid w:val="003A2448"/>
    <w:rsid w:val="003A4337"/>
    <w:rsid w:val="003B028C"/>
    <w:rsid w:val="003B455A"/>
    <w:rsid w:val="003C01E2"/>
    <w:rsid w:val="003C1B9B"/>
    <w:rsid w:val="003C503C"/>
    <w:rsid w:val="003D121D"/>
    <w:rsid w:val="003E4E0B"/>
    <w:rsid w:val="003F7AB5"/>
    <w:rsid w:val="00401439"/>
    <w:rsid w:val="00411A62"/>
    <w:rsid w:val="00416950"/>
    <w:rsid w:val="00416BA2"/>
    <w:rsid w:val="00427D66"/>
    <w:rsid w:val="00443091"/>
    <w:rsid w:val="00450B34"/>
    <w:rsid w:val="0045100F"/>
    <w:rsid w:val="004523B7"/>
    <w:rsid w:val="004540B8"/>
    <w:rsid w:val="00454A8C"/>
    <w:rsid w:val="00463369"/>
    <w:rsid w:val="00470B0F"/>
    <w:rsid w:val="004739E4"/>
    <w:rsid w:val="00477733"/>
    <w:rsid w:val="004807BF"/>
    <w:rsid w:val="0048226B"/>
    <w:rsid w:val="00483B36"/>
    <w:rsid w:val="004878DA"/>
    <w:rsid w:val="00492F0E"/>
    <w:rsid w:val="00493540"/>
    <w:rsid w:val="00494E19"/>
    <w:rsid w:val="004976EF"/>
    <w:rsid w:val="004A246C"/>
    <w:rsid w:val="004A2EE7"/>
    <w:rsid w:val="004A48ED"/>
    <w:rsid w:val="004B3018"/>
    <w:rsid w:val="004D1A60"/>
    <w:rsid w:val="004D2AE1"/>
    <w:rsid w:val="004E31F5"/>
    <w:rsid w:val="004E54E8"/>
    <w:rsid w:val="004E593C"/>
    <w:rsid w:val="004E5ABC"/>
    <w:rsid w:val="004F243A"/>
    <w:rsid w:val="004F6307"/>
    <w:rsid w:val="004F6BE0"/>
    <w:rsid w:val="00514071"/>
    <w:rsid w:val="005204E1"/>
    <w:rsid w:val="005278C0"/>
    <w:rsid w:val="0053133D"/>
    <w:rsid w:val="00531A12"/>
    <w:rsid w:val="00536D0A"/>
    <w:rsid w:val="00536D6B"/>
    <w:rsid w:val="005512CF"/>
    <w:rsid w:val="00570092"/>
    <w:rsid w:val="005751C3"/>
    <w:rsid w:val="005815D9"/>
    <w:rsid w:val="005A6CC4"/>
    <w:rsid w:val="005A779C"/>
    <w:rsid w:val="005B761B"/>
    <w:rsid w:val="005B7792"/>
    <w:rsid w:val="005C208F"/>
    <w:rsid w:val="005C4F37"/>
    <w:rsid w:val="005D0106"/>
    <w:rsid w:val="005D0CAC"/>
    <w:rsid w:val="005D37CA"/>
    <w:rsid w:val="005D5636"/>
    <w:rsid w:val="005E7A0F"/>
    <w:rsid w:val="005F098D"/>
    <w:rsid w:val="006018C1"/>
    <w:rsid w:val="0060652D"/>
    <w:rsid w:val="006068E7"/>
    <w:rsid w:val="00610EA0"/>
    <w:rsid w:val="006118EE"/>
    <w:rsid w:val="00615248"/>
    <w:rsid w:val="0061647C"/>
    <w:rsid w:val="006225BA"/>
    <w:rsid w:val="00624E08"/>
    <w:rsid w:val="00626D5A"/>
    <w:rsid w:val="006434E1"/>
    <w:rsid w:val="00664EE7"/>
    <w:rsid w:val="006655BE"/>
    <w:rsid w:val="00671BA7"/>
    <w:rsid w:val="00687D2D"/>
    <w:rsid w:val="0069205C"/>
    <w:rsid w:val="00694788"/>
    <w:rsid w:val="0069549D"/>
    <w:rsid w:val="00696328"/>
    <w:rsid w:val="00697486"/>
    <w:rsid w:val="006A67EE"/>
    <w:rsid w:val="006B4F83"/>
    <w:rsid w:val="006B6B11"/>
    <w:rsid w:val="006C145B"/>
    <w:rsid w:val="006D6667"/>
    <w:rsid w:val="006E7513"/>
    <w:rsid w:val="006F3A54"/>
    <w:rsid w:val="006F7E5F"/>
    <w:rsid w:val="00702576"/>
    <w:rsid w:val="00703CC3"/>
    <w:rsid w:val="007125EF"/>
    <w:rsid w:val="007148B5"/>
    <w:rsid w:val="00724EB5"/>
    <w:rsid w:val="00725B09"/>
    <w:rsid w:val="00725F3C"/>
    <w:rsid w:val="007313E7"/>
    <w:rsid w:val="00740E85"/>
    <w:rsid w:val="007502BB"/>
    <w:rsid w:val="00751448"/>
    <w:rsid w:val="00755BDD"/>
    <w:rsid w:val="00757990"/>
    <w:rsid w:val="007622A2"/>
    <w:rsid w:val="00764006"/>
    <w:rsid w:val="00775484"/>
    <w:rsid w:val="00777123"/>
    <w:rsid w:val="007A1DCE"/>
    <w:rsid w:val="007A245D"/>
    <w:rsid w:val="007A3645"/>
    <w:rsid w:val="007A70AF"/>
    <w:rsid w:val="007A7BE7"/>
    <w:rsid w:val="007B5207"/>
    <w:rsid w:val="007C7587"/>
    <w:rsid w:val="007D0E42"/>
    <w:rsid w:val="007D310F"/>
    <w:rsid w:val="007D44D1"/>
    <w:rsid w:val="007E6AEE"/>
    <w:rsid w:val="007F0979"/>
    <w:rsid w:val="008068B3"/>
    <w:rsid w:val="00811981"/>
    <w:rsid w:val="00820B46"/>
    <w:rsid w:val="008406BD"/>
    <w:rsid w:val="00856544"/>
    <w:rsid w:val="008652EA"/>
    <w:rsid w:val="00865F37"/>
    <w:rsid w:val="00871082"/>
    <w:rsid w:val="00884CD8"/>
    <w:rsid w:val="008A2ECC"/>
    <w:rsid w:val="008B280D"/>
    <w:rsid w:val="008C62E5"/>
    <w:rsid w:val="008C686F"/>
    <w:rsid w:val="008C6D11"/>
    <w:rsid w:val="008D01B5"/>
    <w:rsid w:val="008D7F38"/>
    <w:rsid w:val="008F4C8E"/>
    <w:rsid w:val="009110D0"/>
    <w:rsid w:val="00911110"/>
    <w:rsid w:val="00913965"/>
    <w:rsid w:val="00914354"/>
    <w:rsid w:val="00915035"/>
    <w:rsid w:val="00930108"/>
    <w:rsid w:val="00932A04"/>
    <w:rsid w:val="00936590"/>
    <w:rsid w:val="00940CBF"/>
    <w:rsid w:val="00953D37"/>
    <w:rsid w:val="00957BFA"/>
    <w:rsid w:val="00990C28"/>
    <w:rsid w:val="00993524"/>
    <w:rsid w:val="009A25A7"/>
    <w:rsid w:val="009A3DEB"/>
    <w:rsid w:val="009A4AF9"/>
    <w:rsid w:val="009D1015"/>
    <w:rsid w:val="009D62DA"/>
    <w:rsid w:val="009E0E7D"/>
    <w:rsid w:val="009E1F97"/>
    <w:rsid w:val="009E48A8"/>
    <w:rsid w:val="009F0E5F"/>
    <w:rsid w:val="009F1AD4"/>
    <w:rsid w:val="009F3946"/>
    <w:rsid w:val="009F419E"/>
    <w:rsid w:val="00A00013"/>
    <w:rsid w:val="00A01668"/>
    <w:rsid w:val="00A0522D"/>
    <w:rsid w:val="00A06F83"/>
    <w:rsid w:val="00A1040D"/>
    <w:rsid w:val="00A1315D"/>
    <w:rsid w:val="00A16A2C"/>
    <w:rsid w:val="00A207A1"/>
    <w:rsid w:val="00A25119"/>
    <w:rsid w:val="00A25CF4"/>
    <w:rsid w:val="00A2728C"/>
    <w:rsid w:val="00A307E9"/>
    <w:rsid w:val="00A36FEE"/>
    <w:rsid w:val="00A4617C"/>
    <w:rsid w:val="00A5134B"/>
    <w:rsid w:val="00A52179"/>
    <w:rsid w:val="00A52A37"/>
    <w:rsid w:val="00A7430E"/>
    <w:rsid w:val="00A804D5"/>
    <w:rsid w:val="00A82D46"/>
    <w:rsid w:val="00A91C13"/>
    <w:rsid w:val="00AA0CAF"/>
    <w:rsid w:val="00AB0A4D"/>
    <w:rsid w:val="00AB4E0E"/>
    <w:rsid w:val="00AB4E86"/>
    <w:rsid w:val="00AD1DC3"/>
    <w:rsid w:val="00AD1E04"/>
    <w:rsid w:val="00AD3796"/>
    <w:rsid w:val="00AD3BCB"/>
    <w:rsid w:val="00AE10E8"/>
    <w:rsid w:val="00AE14BB"/>
    <w:rsid w:val="00AE79A2"/>
    <w:rsid w:val="00AF03DF"/>
    <w:rsid w:val="00AF5532"/>
    <w:rsid w:val="00AF6DA9"/>
    <w:rsid w:val="00B03B65"/>
    <w:rsid w:val="00B04D8C"/>
    <w:rsid w:val="00B135D7"/>
    <w:rsid w:val="00B174CD"/>
    <w:rsid w:val="00B17774"/>
    <w:rsid w:val="00B207CE"/>
    <w:rsid w:val="00B20BF8"/>
    <w:rsid w:val="00B33499"/>
    <w:rsid w:val="00B36292"/>
    <w:rsid w:val="00B422A2"/>
    <w:rsid w:val="00B52412"/>
    <w:rsid w:val="00B55152"/>
    <w:rsid w:val="00B56A9C"/>
    <w:rsid w:val="00B57511"/>
    <w:rsid w:val="00B65263"/>
    <w:rsid w:val="00B677C6"/>
    <w:rsid w:val="00B72842"/>
    <w:rsid w:val="00B87E8C"/>
    <w:rsid w:val="00B94862"/>
    <w:rsid w:val="00BA4155"/>
    <w:rsid w:val="00BA601E"/>
    <w:rsid w:val="00BD065C"/>
    <w:rsid w:val="00BD5E2D"/>
    <w:rsid w:val="00BE0240"/>
    <w:rsid w:val="00BE4A70"/>
    <w:rsid w:val="00BF00A6"/>
    <w:rsid w:val="00BF3108"/>
    <w:rsid w:val="00BF4A2E"/>
    <w:rsid w:val="00BF510E"/>
    <w:rsid w:val="00BF54CD"/>
    <w:rsid w:val="00BF779C"/>
    <w:rsid w:val="00C007D4"/>
    <w:rsid w:val="00C00CC7"/>
    <w:rsid w:val="00C076BC"/>
    <w:rsid w:val="00C138CE"/>
    <w:rsid w:val="00C13B31"/>
    <w:rsid w:val="00C15D91"/>
    <w:rsid w:val="00C23AA9"/>
    <w:rsid w:val="00C23C65"/>
    <w:rsid w:val="00C314CE"/>
    <w:rsid w:val="00C358F6"/>
    <w:rsid w:val="00C4349A"/>
    <w:rsid w:val="00C518DF"/>
    <w:rsid w:val="00C5224D"/>
    <w:rsid w:val="00C54510"/>
    <w:rsid w:val="00C5620E"/>
    <w:rsid w:val="00C64200"/>
    <w:rsid w:val="00C67B7A"/>
    <w:rsid w:val="00C7277C"/>
    <w:rsid w:val="00C770C5"/>
    <w:rsid w:val="00C775A7"/>
    <w:rsid w:val="00C777BE"/>
    <w:rsid w:val="00C8198B"/>
    <w:rsid w:val="00C84CE3"/>
    <w:rsid w:val="00C86129"/>
    <w:rsid w:val="00C87905"/>
    <w:rsid w:val="00C95964"/>
    <w:rsid w:val="00CA1BB1"/>
    <w:rsid w:val="00CB055F"/>
    <w:rsid w:val="00CB101B"/>
    <w:rsid w:val="00CB2244"/>
    <w:rsid w:val="00CB343A"/>
    <w:rsid w:val="00CB705A"/>
    <w:rsid w:val="00CD73A3"/>
    <w:rsid w:val="00CE5526"/>
    <w:rsid w:val="00CF1945"/>
    <w:rsid w:val="00CF287D"/>
    <w:rsid w:val="00CF3FBE"/>
    <w:rsid w:val="00D01412"/>
    <w:rsid w:val="00D02959"/>
    <w:rsid w:val="00D10C93"/>
    <w:rsid w:val="00D11932"/>
    <w:rsid w:val="00D42DC7"/>
    <w:rsid w:val="00D57CA4"/>
    <w:rsid w:val="00D61BAA"/>
    <w:rsid w:val="00D62AA0"/>
    <w:rsid w:val="00D70776"/>
    <w:rsid w:val="00D70DA1"/>
    <w:rsid w:val="00D86722"/>
    <w:rsid w:val="00D86895"/>
    <w:rsid w:val="00D90DAC"/>
    <w:rsid w:val="00D91E5B"/>
    <w:rsid w:val="00D9534E"/>
    <w:rsid w:val="00DA47D0"/>
    <w:rsid w:val="00DC2E0B"/>
    <w:rsid w:val="00DC6D5A"/>
    <w:rsid w:val="00DD3410"/>
    <w:rsid w:val="00DD417D"/>
    <w:rsid w:val="00DD52F4"/>
    <w:rsid w:val="00DD641A"/>
    <w:rsid w:val="00DE52F1"/>
    <w:rsid w:val="00DE5908"/>
    <w:rsid w:val="00DE6E90"/>
    <w:rsid w:val="00DF6DE9"/>
    <w:rsid w:val="00DF6FF6"/>
    <w:rsid w:val="00E01D2D"/>
    <w:rsid w:val="00E145FE"/>
    <w:rsid w:val="00E17B67"/>
    <w:rsid w:val="00E21CBA"/>
    <w:rsid w:val="00E21D57"/>
    <w:rsid w:val="00E2405F"/>
    <w:rsid w:val="00E319CA"/>
    <w:rsid w:val="00E34080"/>
    <w:rsid w:val="00E362ED"/>
    <w:rsid w:val="00E42E16"/>
    <w:rsid w:val="00E5322C"/>
    <w:rsid w:val="00E574E9"/>
    <w:rsid w:val="00E629C3"/>
    <w:rsid w:val="00E63D4D"/>
    <w:rsid w:val="00E71095"/>
    <w:rsid w:val="00E72C11"/>
    <w:rsid w:val="00E82E75"/>
    <w:rsid w:val="00E84CA6"/>
    <w:rsid w:val="00E958F1"/>
    <w:rsid w:val="00E9766C"/>
    <w:rsid w:val="00EA50A1"/>
    <w:rsid w:val="00EA5652"/>
    <w:rsid w:val="00EB3C10"/>
    <w:rsid w:val="00EC716D"/>
    <w:rsid w:val="00ED3142"/>
    <w:rsid w:val="00ED5273"/>
    <w:rsid w:val="00ED55F3"/>
    <w:rsid w:val="00EE0258"/>
    <w:rsid w:val="00EE3B79"/>
    <w:rsid w:val="00EF629E"/>
    <w:rsid w:val="00EF6894"/>
    <w:rsid w:val="00EF7AE7"/>
    <w:rsid w:val="00F234E8"/>
    <w:rsid w:val="00F374C0"/>
    <w:rsid w:val="00F41065"/>
    <w:rsid w:val="00F41D14"/>
    <w:rsid w:val="00F52C5C"/>
    <w:rsid w:val="00F56B57"/>
    <w:rsid w:val="00F6247B"/>
    <w:rsid w:val="00F66B76"/>
    <w:rsid w:val="00F67890"/>
    <w:rsid w:val="00F70FF1"/>
    <w:rsid w:val="00F720A4"/>
    <w:rsid w:val="00F759A5"/>
    <w:rsid w:val="00F75D82"/>
    <w:rsid w:val="00F9085A"/>
    <w:rsid w:val="00F94F5C"/>
    <w:rsid w:val="00FA588F"/>
    <w:rsid w:val="00FB0FA6"/>
    <w:rsid w:val="00FC077D"/>
    <w:rsid w:val="00FC118D"/>
    <w:rsid w:val="00FC5517"/>
    <w:rsid w:val="00FD222E"/>
    <w:rsid w:val="00FD5AAF"/>
    <w:rsid w:val="00FE2E8B"/>
    <w:rsid w:val="00FE44DF"/>
    <w:rsid w:val="00FF1DAA"/>
    <w:rsid w:val="00FF445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0194B23"/>
  <w15:docId w15:val="{19BBC448-5C75-4796-9724-C76579B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rPr>
  </w:style>
  <w:style w:type="paragraph" w:styleId="StandardWeb">
    <w:name w:val="Normal (Web)"/>
    <w:basedOn w:val="Standard"/>
    <w:uiPriority w:val="99"/>
    <w:unhideWhenUsed/>
    <w:rsid w:val="009F0E5F"/>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4B3018"/>
    <w:rPr>
      <w:sz w:val="16"/>
      <w:szCs w:val="16"/>
    </w:rPr>
  </w:style>
  <w:style w:type="paragraph" w:styleId="Kommentartext">
    <w:name w:val="annotation text"/>
    <w:basedOn w:val="Standard"/>
    <w:link w:val="KommentartextZchn"/>
    <w:uiPriority w:val="99"/>
    <w:unhideWhenUsed/>
    <w:rsid w:val="004B3018"/>
    <w:pPr>
      <w:spacing w:line="240" w:lineRule="auto"/>
    </w:pPr>
    <w:rPr>
      <w:szCs w:val="20"/>
    </w:rPr>
  </w:style>
  <w:style w:type="character" w:customStyle="1" w:styleId="KommentartextZchn">
    <w:name w:val="Kommentartext Zchn"/>
    <w:basedOn w:val="Absatz-Standardschriftart"/>
    <w:link w:val="Kommentartext"/>
    <w:uiPriority w:val="99"/>
    <w:rsid w:val="004B301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4B3018"/>
    <w:rPr>
      <w:b/>
      <w:bCs/>
    </w:rPr>
  </w:style>
  <w:style w:type="character" w:customStyle="1" w:styleId="KommentarthemaZchn">
    <w:name w:val="Kommentarthema Zchn"/>
    <w:basedOn w:val="KommentartextZchn"/>
    <w:link w:val="Kommentarthema"/>
    <w:uiPriority w:val="99"/>
    <w:semiHidden/>
    <w:rsid w:val="004B3018"/>
    <w:rPr>
      <w:rFonts w:ascii="Arial" w:hAnsi="Arial"/>
      <w:b/>
      <w:bCs/>
      <w:sz w:val="20"/>
      <w:szCs w:val="20"/>
    </w:rPr>
  </w:style>
  <w:style w:type="paragraph" w:customStyle="1" w:styleId="Textbody">
    <w:name w:val="Text body"/>
    <w:basedOn w:val="Standard"/>
    <w:rsid w:val="00166437"/>
    <w:pPr>
      <w:autoSpaceDN w:val="0"/>
      <w:spacing w:after="120"/>
      <w:jc w:val="both"/>
    </w:pPr>
    <w:rPr>
      <w:rFonts w:eastAsiaTheme="minorEastAsia" w:cs="Arial"/>
      <w:sz w:val="22"/>
    </w:rPr>
  </w:style>
  <w:style w:type="paragraph" w:styleId="berarbeitung">
    <w:name w:val="Revision"/>
    <w:hidden/>
    <w:uiPriority w:val="99"/>
    <w:semiHidden/>
    <w:rsid w:val="00103930"/>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84802">
      <w:bodyDiv w:val="1"/>
      <w:marLeft w:val="0"/>
      <w:marRight w:val="0"/>
      <w:marTop w:val="0"/>
      <w:marBottom w:val="0"/>
      <w:divBdr>
        <w:top w:val="none" w:sz="0" w:space="0" w:color="auto"/>
        <w:left w:val="none" w:sz="0" w:space="0" w:color="auto"/>
        <w:bottom w:val="none" w:sz="0" w:space="0" w:color="auto"/>
        <w:right w:val="none" w:sz="0" w:space="0" w:color="auto"/>
      </w:divBdr>
      <w:divsChild>
        <w:div w:id="492336480">
          <w:marLeft w:val="446"/>
          <w:marRight w:val="0"/>
          <w:marTop w:val="0"/>
          <w:marBottom w:val="0"/>
          <w:divBdr>
            <w:top w:val="none" w:sz="0" w:space="0" w:color="auto"/>
            <w:left w:val="none" w:sz="0" w:space="0" w:color="auto"/>
            <w:bottom w:val="none" w:sz="0" w:space="0" w:color="auto"/>
            <w:right w:val="none" w:sz="0" w:space="0" w:color="auto"/>
          </w:divBdr>
        </w:div>
        <w:div w:id="1048072717">
          <w:marLeft w:val="446"/>
          <w:marRight w:val="0"/>
          <w:marTop w:val="0"/>
          <w:marBottom w:val="0"/>
          <w:divBdr>
            <w:top w:val="none" w:sz="0" w:space="0" w:color="auto"/>
            <w:left w:val="none" w:sz="0" w:space="0" w:color="auto"/>
            <w:bottom w:val="none" w:sz="0" w:space="0" w:color="auto"/>
            <w:right w:val="none" w:sz="0" w:space="0" w:color="auto"/>
          </w:divBdr>
        </w:div>
        <w:div w:id="2052262663">
          <w:marLeft w:val="446"/>
          <w:marRight w:val="0"/>
          <w:marTop w:val="0"/>
          <w:marBottom w:val="0"/>
          <w:divBdr>
            <w:top w:val="none" w:sz="0" w:space="0" w:color="auto"/>
            <w:left w:val="none" w:sz="0" w:space="0" w:color="auto"/>
            <w:bottom w:val="none" w:sz="0" w:space="0" w:color="auto"/>
            <w:right w:val="none" w:sz="0" w:space="0" w:color="auto"/>
          </w:divBdr>
        </w:div>
      </w:divsChild>
    </w:div>
    <w:div w:id="726686835">
      <w:bodyDiv w:val="1"/>
      <w:marLeft w:val="0"/>
      <w:marRight w:val="0"/>
      <w:marTop w:val="0"/>
      <w:marBottom w:val="0"/>
      <w:divBdr>
        <w:top w:val="none" w:sz="0" w:space="0" w:color="auto"/>
        <w:left w:val="none" w:sz="0" w:space="0" w:color="auto"/>
        <w:bottom w:val="none" w:sz="0" w:space="0" w:color="auto"/>
        <w:right w:val="none" w:sz="0" w:space="0" w:color="auto"/>
      </w:divBdr>
    </w:div>
    <w:div w:id="778186696">
      <w:bodyDiv w:val="1"/>
      <w:marLeft w:val="0"/>
      <w:marRight w:val="0"/>
      <w:marTop w:val="0"/>
      <w:marBottom w:val="0"/>
      <w:divBdr>
        <w:top w:val="none" w:sz="0" w:space="0" w:color="auto"/>
        <w:left w:val="none" w:sz="0" w:space="0" w:color="auto"/>
        <w:bottom w:val="none" w:sz="0" w:space="0" w:color="auto"/>
        <w:right w:val="none" w:sz="0" w:space="0" w:color="auto"/>
      </w:divBdr>
    </w:div>
    <w:div w:id="964892440">
      <w:bodyDiv w:val="1"/>
      <w:marLeft w:val="0"/>
      <w:marRight w:val="0"/>
      <w:marTop w:val="0"/>
      <w:marBottom w:val="0"/>
      <w:divBdr>
        <w:top w:val="none" w:sz="0" w:space="0" w:color="auto"/>
        <w:left w:val="none" w:sz="0" w:space="0" w:color="auto"/>
        <w:bottom w:val="none" w:sz="0" w:space="0" w:color="auto"/>
        <w:right w:val="none" w:sz="0" w:space="0" w:color="auto"/>
      </w:divBdr>
    </w:div>
    <w:div w:id="1428191745">
      <w:bodyDiv w:val="1"/>
      <w:marLeft w:val="0"/>
      <w:marRight w:val="0"/>
      <w:marTop w:val="0"/>
      <w:marBottom w:val="0"/>
      <w:divBdr>
        <w:top w:val="none" w:sz="0" w:space="0" w:color="auto"/>
        <w:left w:val="none" w:sz="0" w:space="0" w:color="auto"/>
        <w:bottom w:val="none" w:sz="0" w:space="0" w:color="auto"/>
        <w:right w:val="none" w:sz="0" w:space="0" w:color="auto"/>
      </w:divBdr>
    </w:div>
    <w:div w:id="1429812523">
      <w:bodyDiv w:val="1"/>
      <w:marLeft w:val="0"/>
      <w:marRight w:val="0"/>
      <w:marTop w:val="0"/>
      <w:marBottom w:val="0"/>
      <w:divBdr>
        <w:top w:val="none" w:sz="0" w:space="0" w:color="auto"/>
        <w:left w:val="none" w:sz="0" w:space="0" w:color="auto"/>
        <w:bottom w:val="none" w:sz="0" w:space="0" w:color="auto"/>
        <w:right w:val="none" w:sz="0" w:space="0" w:color="auto"/>
      </w:divBdr>
    </w:div>
    <w:div w:id="1495606832">
      <w:bodyDiv w:val="1"/>
      <w:marLeft w:val="0"/>
      <w:marRight w:val="0"/>
      <w:marTop w:val="0"/>
      <w:marBottom w:val="0"/>
      <w:divBdr>
        <w:top w:val="none" w:sz="0" w:space="0" w:color="auto"/>
        <w:left w:val="none" w:sz="0" w:space="0" w:color="auto"/>
        <w:bottom w:val="none" w:sz="0" w:space="0" w:color="auto"/>
        <w:right w:val="none" w:sz="0" w:space="0" w:color="auto"/>
      </w:divBdr>
    </w:div>
    <w:div w:id="178449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11B04-707C-4135-B5DF-C1CB796F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1266</Words>
  <Characters>7981</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Kirchmayr Martin</cp:lastModifiedBy>
  <cp:revision>5</cp:revision>
  <cp:lastPrinted>2016-12-13T16:11:00Z</cp:lastPrinted>
  <dcterms:created xsi:type="dcterms:W3CDTF">2016-12-19T08:00:00Z</dcterms:created>
  <dcterms:modified xsi:type="dcterms:W3CDTF">2017-02-16T06:55:00Z</dcterms:modified>
</cp:coreProperties>
</file>