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20003" w14:textId="77777777" w:rsidR="00A83E29" w:rsidRPr="00A83E29" w:rsidRDefault="00A83E29" w:rsidP="00A83E29">
      <w:pPr>
        <w:pStyle w:val="Listenabsatz"/>
        <w:ind w:left="0"/>
        <w:rPr>
          <w:rFonts w:cs="Arial"/>
          <w:b/>
          <w:sz w:val="28"/>
          <w:szCs w:val="20"/>
        </w:rPr>
      </w:pPr>
      <w:r w:rsidRPr="00A83E29">
        <w:rPr>
          <w:rFonts w:cs="Arial"/>
          <w:b/>
          <w:sz w:val="28"/>
          <w:szCs w:val="20"/>
        </w:rPr>
        <w:t>Hoch hinaus</w:t>
      </w:r>
    </w:p>
    <w:p w14:paraId="0ED74058" w14:textId="77777777" w:rsidR="00A83E29" w:rsidRPr="00A83E29" w:rsidRDefault="00A83E29" w:rsidP="00A83E29">
      <w:pPr>
        <w:pStyle w:val="Listenabsatz"/>
        <w:ind w:left="0"/>
        <w:rPr>
          <w:rFonts w:cs="Arial"/>
          <w:b/>
          <w:i/>
          <w:sz w:val="24"/>
          <w:szCs w:val="20"/>
        </w:rPr>
      </w:pPr>
      <w:r w:rsidRPr="00A83E29">
        <w:rPr>
          <w:rFonts w:cs="Arial"/>
          <w:b/>
          <w:i/>
          <w:sz w:val="24"/>
          <w:szCs w:val="20"/>
        </w:rPr>
        <w:t xml:space="preserve">TGW Mustang – Die neue Generation </w:t>
      </w:r>
    </w:p>
    <w:p w14:paraId="67ED51A1" w14:textId="77777777" w:rsidR="001F296C" w:rsidRPr="001F296C" w:rsidRDefault="001F296C" w:rsidP="001F296C">
      <w:pPr>
        <w:shd w:val="clear" w:color="auto" w:fill="FFFFFF"/>
        <w:spacing w:before="240" w:after="120"/>
        <w:ind w:right="1837"/>
        <w:rPr>
          <w:rFonts w:eastAsia="Times New Roman" w:cs="Arial"/>
          <w:szCs w:val="20"/>
        </w:rPr>
      </w:pPr>
      <w:r w:rsidRPr="001F296C">
        <w:rPr>
          <w:rFonts w:eastAsia="Times New Roman" w:cs="Arial"/>
          <w:b/>
          <w:bCs/>
          <w:szCs w:val="20"/>
        </w:rPr>
        <w:t xml:space="preserve">Über 7.500 Regalbediengeräte haben die TGW-Fertigung in Wels bereits verlassen. Sie lagern und transportieren Millionen von Waren quer durch die Intralogistiklager dieser Welt. Stets sicher, verlässlich und mit hoher Qualität. Der neue TGW Mustang legt noch ordentlich nach – in der Leistung, Qualität und Höhe. </w:t>
      </w:r>
    </w:p>
    <w:p w14:paraId="166183CE" w14:textId="4BAA061C" w:rsidR="001F296C" w:rsidRPr="001F296C" w:rsidRDefault="001F296C" w:rsidP="001F296C">
      <w:pPr>
        <w:shd w:val="clear" w:color="auto" w:fill="FFFFFF"/>
        <w:spacing w:before="240" w:after="120"/>
        <w:ind w:right="1837"/>
        <w:rPr>
          <w:rFonts w:eastAsia="Times New Roman" w:cs="Arial"/>
          <w:szCs w:val="20"/>
        </w:rPr>
      </w:pPr>
      <w:r w:rsidRPr="001F296C">
        <w:rPr>
          <w:rFonts w:eastAsia="Times New Roman" w:cs="Arial"/>
          <w:szCs w:val="20"/>
        </w:rPr>
        <w:t>Es erscheint auf den ersten Blick einfach: Ein Regal mit mehreren Regalgassen, Kartons und Behältern und Regalbediengeräte</w:t>
      </w:r>
      <w:r w:rsidR="00954A62">
        <w:rPr>
          <w:rFonts w:eastAsia="Times New Roman" w:cs="Arial"/>
          <w:szCs w:val="20"/>
        </w:rPr>
        <w:t>n</w:t>
      </w:r>
      <w:r w:rsidRPr="001F296C">
        <w:rPr>
          <w:rFonts w:eastAsia="Times New Roman" w:cs="Arial"/>
          <w:szCs w:val="20"/>
        </w:rPr>
        <w:t>, die für die Bewegung im Lager sorgen. Doch ganz so einfach ist es nicht. Was dahinter steckt ist eine spannende Geschichte zu einem mechatronischen System, das bei der Entwicklung viel Einsatz und Know-how von allen Beteiligten forderte.</w:t>
      </w:r>
    </w:p>
    <w:p w14:paraId="571AAC23" w14:textId="77777777" w:rsidR="001F296C" w:rsidRPr="001F296C" w:rsidRDefault="001F296C" w:rsidP="001F296C">
      <w:pPr>
        <w:shd w:val="clear" w:color="auto" w:fill="FFFFFF"/>
        <w:spacing w:before="240" w:after="120"/>
        <w:ind w:right="1837"/>
        <w:outlineLvl w:val="1"/>
        <w:rPr>
          <w:rFonts w:eastAsia="Times New Roman" w:cs="Arial"/>
          <w:b/>
          <w:szCs w:val="20"/>
        </w:rPr>
      </w:pPr>
      <w:r w:rsidRPr="001F296C">
        <w:rPr>
          <w:rFonts w:eastAsia="Times New Roman" w:cs="Arial"/>
          <w:b/>
          <w:szCs w:val="20"/>
        </w:rPr>
        <w:t>Am Puls der Zeit – die neue Generation</w:t>
      </w:r>
    </w:p>
    <w:p w14:paraId="354AA291" w14:textId="00BD38DC" w:rsidR="001F296C" w:rsidRPr="001F296C" w:rsidRDefault="001F296C" w:rsidP="001F296C">
      <w:pPr>
        <w:shd w:val="clear" w:color="auto" w:fill="FFFFFF"/>
        <w:spacing w:before="240" w:after="120"/>
        <w:ind w:right="1837"/>
        <w:rPr>
          <w:rFonts w:eastAsia="Times New Roman" w:cs="Arial"/>
          <w:szCs w:val="20"/>
        </w:rPr>
      </w:pPr>
      <w:r w:rsidRPr="001F296C">
        <w:rPr>
          <w:rFonts w:eastAsia="Times New Roman" w:cs="Arial"/>
          <w:szCs w:val="20"/>
        </w:rPr>
        <w:t xml:space="preserve">Die Anforderungen unserer Kunden steigen sprichwörtlich in die Höhe: höheres Lagervolumen bei maximaler Dynamik. Mit der neuen Regalbediengeräte-Generation erfüllt TGW diese Kundenwünsche. Doch was genau unterscheidet die neue Generation von den bisherigen Systemen? „Die Unterschiede sind für jeden sofort sichtbar: Wir bauen in die Höhe“, weiß Martin Rausch, Managing </w:t>
      </w:r>
      <w:proofErr w:type="spellStart"/>
      <w:r w:rsidRPr="001F296C">
        <w:rPr>
          <w:rFonts w:eastAsia="Times New Roman" w:cs="Arial"/>
          <w:szCs w:val="20"/>
        </w:rPr>
        <w:t>Director</w:t>
      </w:r>
      <w:proofErr w:type="spellEnd"/>
      <w:r w:rsidRPr="001F296C">
        <w:rPr>
          <w:rFonts w:eastAsia="Times New Roman" w:cs="Arial"/>
          <w:szCs w:val="20"/>
        </w:rPr>
        <w:t xml:space="preserve"> bei TGW </w:t>
      </w:r>
      <w:proofErr w:type="spellStart"/>
      <w:r w:rsidRPr="001F296C">
        <w:rPr>
          <w:rFonts w:eastAsia="Times New Roman" w:cs="Arial"/>
          <w:szCs w:val="20"/>
        </w:rPr>
        <w:t>Mechanics</w:t>
      </w:r>
      <w:proofErr w:type="spellEnd"/>
      <w:r w:rsidRPr="001F296C">
        <w:rPr>
          <w:rFonts w:eastAsia="Times New Roman" w:cs="Arial"/>
          <w:szCs w:val="20"/>
        </w:rPr>
        <w:t>. „Bis zu 25 Meter hohe Regalbediengeräte sorgen in Zukunft für maximale Durchsatzleistung bei stark erhöhtem Lagervolumen in Kombination mit allen bekannten TGW-Lastaufnahmemitteln. Das gab es bisher noch nicht!“ Der intelligente TGW Mustang wird mit einer innovativen Anti-Schwing-Regelung ausgestattet, das bedeutet, dass bis zu 18 Meter</w:t>
      </w:r>
      <w:r w:rsidR="00954A62">
        <w:rPr>
          <w:rFonts w:eastAsia="Times New Roman" w:cs="Arial"/>
          <w:szCs w:val="20"/>
        </w:rPr>
        <w:t>n</w:t>
      </w:r>
      <w:r w:rsidRPr="001F296C">
        <w:rPr>
          <w:rFonts w:eastAsia="Times New Roman" w:cs="Arial"/>
          <w:szCs w:val="20"/>
        </w:rPr>
        <w:t xml:space="preserve"> kein Anti-Pendel-Antrieb benötigt wird.</w:t>
      </w:r>
    </w:p>
    <w:p w14:paraId="3933885B" w14:textId="77777777" w:rsidR="00C66CA2" w:rsidRDefault="001F296C" w:rsidP="001F296C">
      <w:pPr>
        <w:shd w:val="clear" w:color="auto" w:fill="FFFFFF"/>
        <w:spacing w:before="240" w:after="120"/>
        <w:ind w:right="1837"/>
        <w:rPr>
          <w:rFonts w:eastAsia="Times New Roman" w:cs="Arial"/>
          <w:szCs w:val="20"/>
        </w:rPr>
      </w:pPr>
      <w:r w:rsidRPr="001F296C">
        <w:rPr>
          <w:rFonts w:eastAsia="Times New Roman" w:cs="Arial"/>
          <w:szCs w:val="20"/>
        </w:rPr>
        <w:t xml:space="preserve">Für eine einfachere und schnellere Wartung ist ebenso gesorgt: Zustandsanalysen werden per Online-Monitoring und Kameraüberwachung am Lastaufnahmemittel rasch vorgenommen, Störungen umgehend erkannt. „Die neue Generation des TGW </w:t>
      </w:r>
      <w:proofErr w:type="spellStart"/>
      <w:r w:rsidRPr="001F296C">
        <w:rPr>
          <w:rFonts w:eastAsia="Times New Roman" w:cs="Arial"/>
          <w:szCs w:val="20"/>
        </w:rPr>
        <w:t>Commanders</w:t>
      </w:r>
      <w:proofErr w:type="spellEnd"/>
      <w:r w:rsidRPr="001F296C">
        <w:rPr>
          <w:rFonts w:eastAsia="Times New Roman" w:cs="Arial"/>
          <w:szCs w:val="20"/>
        </w:rPr>
        <w:t xml:space="preserve"> bietet dem Betreiber darüber hinaus für die Visualisierung und Bedienung des Geräts Tablets an. Über diese Tablets kann der Servicetechniker direkt auf die Systemparameter und auch die Kamera, inklusive Aufzeichnung im Störfall, auf dem Lastaufnahmemittel zugreifen. Die Speicherung dieser Videoaufzeichnungen erleichtert dem Bediener die Fehlersuche“, so Rausch. </w:t>
      </w:r>
    </w:p>
    <w:p w14:paraId="66715FEB" w14:textId="0902EAD2" w:rsidR="001F296C" w:rsidRPr="001F296C" w:rsidRDefault="001F296C" w:rsidP="001F296C">
      <w:pPr>
        <w:shd w:val="clear" w:color="auto" w:fill="FFFFFF"/>
        <w:spacing w:before="240" w:after="120"/>
        <w:ind w:right="1837"/>
        <w:rPr>
          <w:rFonts w:eastAsia="Times New Roman" w:cs="Arial"/>
          <w:szCs w:val="20"/>
        </w:rPr>
      </w:pPr>
      <w:r w:rsidRPr="001F296C">
        <w:rPr>
          <w:rFonts w:eastAsia="Times New Roman" w:cs="Arial"/>
          <w:szCs w:val="20"/>
        </w:rPr>
        <w:t xml:space="preserve">Die hohe Servicefreundlichkeit ist bereits auf den ersten Blick ersichtlich: Die Zugänglichkeit zu den Schaltschränken wurde durch das neue Konzept mit geteilten </w:t>
      </w:r>
      <w:r w:rsidRPr="001F296C">
        <w:rPr>
          <w:rFonts w:eastAsia="Times New Roman" w:cs="Arial"/>
          <w:szCs w:val="20"/>
        </w:rPr>
        <w:lastRenderedPageBreak/>
        <w:t>Schaltschränken erleichtert, sodass man sie ohne zusätzliche Hilfsmittel erreichen kann. Weiteres sorgt beim Einsatz eines Anti-Pendel-Antriebs ein direkt am Mast mitfahrendes Podest für beste Zugänglichkeit zu den Komponenten.</w:t>
      </w:r>
    </w:p>
    <w:p w14:paraId="6E728110" w14:textId="77777777" w:rsidR="001F296C" w:rsidRPr="001F296C" w:rsidRDefault="001F296C" w:rsidP="001F296C">
      <w:pPr>
        <w:shd w:val="clear" w:color="auto" w:fill="FFFFFF"/>
        <w:spacing w:before="240" w:after="120"/>
        <w:ind w:right="1837"/>
        <w:outlineLvl w:val="1"/>
        <w:rPr>
          <w:rFonts w:eastAsia="Times New Roman" w:cs="Arial"/>
          <w:b/>
          <w:szCs w:val="20"/>
        </w:rPr>
      </w:pPr>
      <w:r w:rsidRPr="001F296C">
        <w:rPr>
          <w:rFonts w:eastAsia="Times New Roman" w:cs="Arial"/>
          <w:b/>
          <w:szCs w:val="20"/>
        </w:rPr>
        <w:t>Gleichbleibende Qualität im neuen Modell</w:t>
      </w:r>
    </w:p>
    <w:p w14:paraId="39CE306F" w14:textId="2F2463FA" w:rsidR="001F296C" w:rsidRPr="001F296C" w:rsidRDefault="001F296C" w:rsidP="001F296C">
      <w:pPr>
        <w:shd w:val="clear" w:color="auto" w:fill="FFFFFF"/>
        <w:spacing w:before="240" w:after="120"/>
        <w:ind w:right="1837"/>
        <w:rPr>
          <w:rFonts w:eastAsia="Times New Roman" w:cs="Arial"/>
          <w:szCs w:val="20"/>
        </w:rPr>
      </w:pPr>
      <w:r w:rsidRPr="001F296C">
        <w:rPr>
          <w:rFonts w:eastAsia="Times New Roman" w:cs="Arial"/>
          <w:szCs w:val="20"/>
        </w:rPr>
        <w:t>Die neue Generation des TGW Mustangs zeichnet sich vor allem durch eine gleichbleibend hohe Dynamik bis in sehr hohe Lagerhöhen aus. Dabei sorgt das integrierte Energiemanagement für einen niedrigen Energieverbrauch und eine maximale Effizienz der TGW Mustang. Trotz der vielen</w:t>
      </w:r>
      <w:r w:rsidR="00954A62">
        <w:rPr>
          <w:rFonts w:eastAsia="Times New Roman" w:cs="Arial"/>
          <w:szCs w:val="20"/>
        </w:rPr>
        <w:t xml:space="preserve"> Zusatznutzen und Optimierungen</w:t>
      </w:r>
      <w:r w:rsidRPr="001F296C">
        <w:rPr>
          <w:rFonts w:eastAsia="Times New Roman" w:cs="Arial"/>
          <w:szCs w:val="20"/>
        </w:rPr>
        <w:t xml:space="preserve"> konnten die Systemgesamtkosten reduziert werden. „Wir setzen auf intelligente, modulare und langlebige mechatronische Systeme mit geringen Total </w:t>
      </w:r>
      <w:proofErr w:type="spellStart"/>
      <w:r w:rsidRPr="001F296C">
        <w:rPr>
          <w:rFonts w:eastAsia="Times New Roman" w:cs="Arial"/>
          <w:szCs w:val="20"/>
        </w:rPr>
        <w:t>Cost</w:t>
      </w:r>
      <w:proofErr w:type="spellEnd"/>
      <w:r w:rsidRPr="001F296C">
        <w:rPr>
          <w:rFonts w:eastAsia="Times New Roman" w:cs="Arial"/>
          <w:szCs w:val="20"/>
        </w:rPr>
        <w:t xml:space="preserve"> </w:t>
      </w:r>
      <w:proofErr w:type="spellStart"/>
      <w:r w:rsidRPr="001F296C">
        <w:rPr>
          <w:rFonts w:eastAsia="Times New Roman" w:cs="Arial"/>
          <w:szCs w:val="20"/>
        </w:rPr>
        <w:t>of</w:t>
      </w:r>
      <w:proofErr w:type="spellEnd"/>
      <w:r w:rsidRPr="001F296C">
        <w:rPr>
          <w:rFonts w:eastAsia="Times New Roman" w:cs="Arial"/>
          <w:szCs w:val="20"/>
        </w:rPr>
        <w:t xml:space="preserve"> Ownership (TCO)“, erklärt Martin Rausch. „Die Anti-Schwing-Regelung zur Redu</w:t>
      </w:r>
      <w:r w:rsidR="00954A62">
        <w:rPr>
          <w:rFonts w:eastAsia="Times New Roman" w:cs="Arial"/>
          <w:szCs w:val="20"/>
        </w:rPr>
        <w:t>ktion der Schwingungen im Mast</w:t>
      </w:r>
      <w:r w:rsidRPr="001F296C">
        <w:rPr>
          <w:rFonts w:eastAsia="Times New Roman" w:cs="Arial"/>
          <w:szCs w:val="20"/>
        </w:rPr>
        <w:t xml:space="preserve">, die </w:t>
      </w:r>
      <w:proofErr w:type="spellStart"/>
      <w:r w:rsidRPr="001F296C">
        <w:rPr>
          <w:rFonts w:eastAsia="Times New Roman" w:cs="Arial"/>
          <w:szCs w:val="20"/>
        </w:rPr>
        <w:t>Autoteach</w:t>
      </w:r>
      <w:proofErr w:type="spellEnd"/>
      <w:r w:rsidRPr="001F296C">
        <w:rPr>
          <w:rFonts w:eastAsia="Times New Roman" w:cs="Arial"/>
          <w:szCs w:val="20"/>
        </w:rPr>
        <w:t>-Funktion des Regalbediengerätes</w:t>
      </w:r>
      <w:r w:rsidR="00954A62">
        <w:rPr>
          <w:rFonts w:eastAsia="Times New Roman" w:cs="Arial"/>
          <w:szCs w:val="20"/>
        </w:rPr>
        <w:t>,</w:t>
      </w:r>
      <w:r w:rsidRPr="001F296C">
        <w:rPr>
          <w:rFonts w:eastAsia="Times New Roman" w:cs="Arial"/>
          <w:szCs w:val="20"/>
        </w:rPr>
        <w:t xml:space="preserve"> um bei der Inbetriebnahme Parameter selbst einzulernen und zu optimieren sowie ein kontrolliertes Abbremsen der Geräte beim Ausfall der Energieversorgung sind nur ein Auszug der zusätz</w:t>
      </w:r>
      <w:r w:rsidR="00954A62">
        <w:rPr>
          <w:rFonts w:eastAsia="Times New Roman" w:cs="Arial"/>
          <w:szCs w:val="20"/>
        </w:rPr>
        <w:t>lichen Features unseres Mustang</w:t>
      </w:r>
      <w:r w:rsidRPr="001F296C">
        <w:rPr>
          <w:rFonts w:eastAsia="Times New Roman" w:cs="Arial"/>
          <w:szCs w:val="20"/>
        </w:rPr>
        <w:t>.“</w:t>
      </w:r>
    </w:p>
    <w:p w14:paraId="41DA4AC0" w14:textId="40CFB59C" w:rsidR="001F296C" w:rsidRPr="001F296C" w:rsidRDefault="00954A62" w:rsidP="001F296C">
      <w:pPr>
        <w:shd w:val="clear" w:color="auto" w:fill="FFFFFF"/>
        <w:spacing w:before="240" w:after="120"/>
        <w:ind w:right="1837"/>
        <w:rPr>
          <w:rFonts w:eastAsia="Times New Roman" w:cs="Arial"/>
          <w:szCs w:val="20"/>
        </w:rPr>
      </w:pPr>
      <w:r>
        <w:rPr>
          <w:rFonts w:eastAsia="Times New Roman" w:cs="Arial"/>
          <w:szCs w:val="20"/>
        </w:rPr>
        <w:t xml:space="preserve">Die ersten Modelle des neuen TGW Mustang wurden bereits zu den </w:t>
      </w:r>
      <w:r w:rsidR="00A62ECC">
        <w:rPr>
          <w:rFonts w:eastAsia="Times New Roman" w:cs="Arial"/>
          <w:szCs w:val="20"/>
        </w:rPr>
        <w:t>internationalen</w:t>
      </w:r>
      <w:bookmarkStart w:id="0" w:name="_GoBack"/>
      <w:bookmarkEnd w:id="0"/>
      <w:r w:rsidR="00A62ECC">
        <w:rPr>
          <w:rFonts w:eastAsia="Times New Roman" w:cs="Arial"/>
          <w:szCs w:val="20"/>
        </w:rPr>
        <w:t xml:space="preserve"> TGW-</w:t>
      </w:r>
      <w:r>
        <w:rPr>
          <w:rFonts w:eastAsia="Times New Roman" w:cs="Arial"/>
          <w:szCs w:val="20"/>
        </w:rPr>
        <w:t>Kunden ausgeliefert</w:t>
      </w:r>
      <w:r w:rsidR="001F296C" w:rsidRPr="001F296C">
        <w:rPr>
          <w:rFonts w:eastAsia="Times New Roman" w:cs="Arial"/>
          <w:szCs w:val="20"/>
        </w:rPr>
        <w:t xml:space="preserve">. Bereits vor Abschluss des Entwicklungsprojektes konnten Kunden, unter ihnen </w:t>
      </w:r>
      <w:proofErr w:type="spellStart"/>
      <w:r w:rsidR="001F296C" w:rsidRPr="001F296C">
        <w:rPr>
          <w:rFonts w:eastAsia="Times New Roman" w:cs="Arial"/>
          <w:szCs w:val="20"/>
        </w:rPr>
        <w:t>starlim</w:t>
      </w:r>
      <w:proofErr w:type="spellEnd"/>
      <w:r w:rsidR="001F296C" w:rsidRPr="001F296C">
        <w:rPr>
          <w:rFonts w:eastAsia="Times New Roman" w:cs="Arial"/>
          <w:szCs w:val="20"/>
        </w:rPr>
        <w:t>//</w:t>
      </w:r>
      <w:proofErr w:type="spellStart"/>
      <w:r w:rsidR="001F296C" w:rsidRPr="001F296C">
        <w:rPr>
          <w:rFonts w:eastAsia="Times New Roman" w:cs="Arial"/>
          <w:szCs w:val="20"/>
        </w:rPr>
        <w:t>sterner</w:t>
      </w:r>
      <w:proofErr w:type="spellEnd"/>
      <w:r w:rsidR="001F296C" w:rsidRPr="001F296C">
        <w:rPr>
          <w:rFonts w:eastAsia="Times New Roman" w:cs="Arial"/>
          <w:szCs w:val="20"/>
        </w:rPr>
        <w:t xml:space="preserve">, für die neue Generation des TGW Mustang begeistert werden: „Bei </w:t>
      </w:r>
      <w:proofErr w:type="spellStart"/>
      <w:r w:rsidR="001F296C" w:rsidRPr="001F296C">
        <w:rPr>
          <w:rFonts w:eastAsia="Times New Roman" w:cs="Arial"/>
          <w:szCs w:val="20"/>
        </w:rPr>
        <w:t>starlim</w:t>
      </w:r>
      <w:proofErr w:type="spellEnd"/>
      <w:r w:rsidR="001F296C" w:rsidRPr="001F296C">
        <w:rPr>
          <w:rFonts w:eastAsia="Times New Roman" w:cs="Arial"/>
          <w:szCs w:val="20"/>
        </w:rPr>
        <w:t>//</w:t>
      </w:r>
      <w:proofErr w:type="spellStart"/>
      <w:r w:rsidR="001F296C" w:rsidRPr="001F296C">
        <w:rPr>
          <w:rFonts w:eastAsia="Times New Roman" w:cs="Arial"/>
          <w:szCs w:val="20"/>
        </w:rPr>
        <w:t>sterner</w:t>
      </w:r>
      <w:proofErr w:type="spellEnd"/>
      <w:r w:rsidR="001F296C" w:rsidRPr="001F296C">
        <w:rPr>
          <w:rFonts w:eastAsia="Times New Roman" w:cs="Arial"/>
          <w:szCs w:val="20"/>
        </w:rPr>
        <w:t xml:space="preserve"> setzen wir immer auf die neuesten Technologien – auch beim aktuellen </w:t>
      </w:r>
      <w:proofErr w:type="spellStart"/>
      <w:r w:rsidR="001F296C" w:rsidRPr="001F296C">
        <w:rPr>
          <w:rFonts w:eastAsia="Times New Roman" w:cs="Arial"/>
          <w:szCs w:val="20"/>
        </w:rPr>
        <w:t>Retrofit</w:t>
      </w:r>
      <w:proofErr w:type="spellEnd"/>
      <w:r w:rsidR="001F296C" w:rsidRPr="001F296C">
        <w:rPr>
          <w:rFonts w:eastAsia="Times New Roman" w:cs="Arial"/>
          <w:szCs w:val="20"/>
        </w:rPr>
        <w:t xml:space="preserve">. Es war von Anfang an klar, dass wir die zwei neuen AKL-Gassen mit der neuen Generation der TGW Mustang-Regalbediengeräte ausstatten. So schaffen wir beste Voraussetzungen für mögliche Erweiterungen und erreichen gleichzeitig eine bessere Leistung und niedrigere Life Cycle </w:t>
      </w:r>
      <w:proofErr w:type="spellStart"/>
      <w:r w:rsidR="001F296C" w:rsidRPr="001F296C">
        <w:rPr>
          <w:rFonts w:eastAsia="Times New Roman" w:cs="Arial"/>
          <w:szCs w:val="20"/>
        </w:rPr>
        <w:t>Costs</w:t>
      </w:r>
      <w:proofErr w:type="spellEnd"/>
      <w:r w:rsidR="001F296C" w:rsidRPr="001F296C">
        <w:rPr>
          <w:rFonts w:eastAsia="Times New Roman" w:cs="Arial"/>
          <w:szCs w:val="20"/>
        </w:rPr>
        <w:t xml:space="preserve"> im Lager“, so Markus </w:t>
      </w:r>
      <w:proofErr w:type="spellStart"/>
      <w:r w:rsidR="001F296C" w:rsidRPr="001F296C">
        <w:rPr>
          <w:rFonts w:eastAsia="Times New Roman" w:cs="Arial"/>
          <w:szCs w:val="20"/>
        </w:rPr>
        <w:t>Bründl</w:t>
      </w:r>
      <w:proofErr w:type="spellEnd"/>
      <w:r w:rsidR="001F296C" w:rsidRPr="001F296C">
        <w:rPr>
          <w:rFonts w:eastAsia="Times New Roman" w:cs="Arial"/>
          <w:szCs w:val="20"/>
        </w:rPr>
        <w:t xml:space="preserve">, </w:t>
      </w:r>
      <w:proofErr w:type="spellStart"/>
      <w:r w:rsidR="001F296C" w:rsidRPr="001F296C">
        <w:rPr>
          <w:rFonts w:eastAsia="Times New Roman" w:cs="Arial"/>
          <w:szCs w:val="20"/>
        </w:rPr>
        <w:t>Vice</w:t>
      </w:r>
      <w:proofErr w:type="spellEnd"/>
      <w:r w:rsidR="001F296C" w:rsidRPr="001F296C">
        <w:rPr>
          <w:rFonts w:eastAsia="Times New Roman" w:cs="Arial"/>
          <w:szCs w:val="20"/>
        </w:rPr>
        <w:t xml:space="preserve"> </w:t>
      </w:r>
      <w:proofErr w:type="spellStart"/>
      <w:r w:rsidR="001F296C" w:rsidRPr="001F296C">
        <w:rPr>
          <w:rFonts w:eastAsia="Times New Roman" w:cs="Arial"/>
          <w:szCs w:val="20"/>
        </w:rPr>
        <w:t>President</w:t>
      </w:r>
      <w:proofErr w:type="spellEnd"/>
      <w:r w:rsidR="001F296C" w:rsidRPr="001F296C">
        <w:rPr>
          <w:rFonts w:eastAsia="Times New Roman" w:cs="Arial"/>
          <w:szCs w:val="20"/>
        </w:rPr>
        <w:t xml:space="preserve"> Operation bei </w:t>
      </w:r>
      <w:proofErr w:type="spellStart"/>
      <w:r w:rsidR="001F296C" w:rsidRPr="001F296C">
        <w:rPr>
          <w:rFonts w:eastAsia="Times New Roman" w:cs="Arial"/>
          <w:szCs w:val="20"/>
        </w:rPr>
        <w:t>starlim</w:t>
      </w:r>
      <w:proofErr w:type="spellEnd"/>
      <w:r w:rsidR="001F296C" w:rsidRPr="001F296C">
        <w:rPr>
          <w:rFonts w:eastAsia="Times New Roman" w:cs="Arial"/>
          <w:szCs w:val="20"/>
        </w:rPr>
        <w:t>//</w:t>
      </w:r>
      <w:proofErr w:type="spellStart"/>
      <w:r w:rsidR="001F296C" w:rsidRPr="001F296C">
        <w:rPr>
          <w:rFonts w:eastAsia="Times New Roman" w:cs="Arial"/>
          <w:szCs w:val="20"/>
        </w:rPr>
        <w:t>sterner</w:t>
      </w:r>
      <w:proofErr w:type="spellEnd"/>
      <w:r w:rsidR="001F296C" w:rsidRPr="001F296C">
        <w:rPr>
          <w:rFonts w:eastAsia="Times New Roman" w:cs="Arial"/>
          <w:szCs w:val="20"/>
        </w:rPr>
        <w:t>.</w:t>
      </w:r>
    </w:p>
    <w:p w14:paraId="31694720" w14:textId="05AB2BCC" w:rsidR="00ED3142" w:rsidRDefault="00A62ECC" w:rsidP="007B5207">
      <w:pPr>
        <w:spacing w:before="240" w:after="120"/>
        <w:ind w:right="1837"/>
        <w:rPr>
          <w:lang w:val="en-GB"/>
        </w:rPr>
      </w:pPr>
      <w:hyperlink r:id="rId8" w:history="1">
        <w:r w:rsidR="00A0769F" w:rsidRPr="00612902">
          <w:rPr>
            <w:rStyle w:val="Hyperlink"/>
            <w:lang w:val="en-GB"/>
          </w:rPr>
          <w:t>www.tgw-group.com</w:t>
        </w:r>
      </w:hyperlink>
    </w:p>
    <w:p w14:paraId="2EDA58F0" w14:textId="77777777" w:rsidR="00ED3142" w:rsidRPr="001F296C" w:rsidRDefault="00ED3142" w:rsidP="007B5207">
      <w:pPr>
        <w:spacing w:before="240" w:after="120"/>
        <w:ind w:right="1837"/>
        <w:rPr>
          <w:lang w:val="en-GB"/>
        </w:rPr>
      </w:pPr>
    </w:p>
    <w:p w14:paraId="0992BF84" w14:textId="77777777" w:rsidR="00ED3142" w:rsidRPr="006E1CBC" w:rsidRDefault="00ED3142" w:rsidP="007B5207">
      <w:pPr>
        <w:spacing w:before="240" w:after="120"/>
        <w:ind w:right="1837"/>
        <w:rPr>
          <w:b/>
          <w:lang w:val="en-GB"/>
        </w:rPr>
      </w:pPr>
      <w:proofErr w:type="spellStart"/>
      <w:r w:rsidRPr="006E1CBC">
        <w:rPr>
          <w:b/>
          <w:lang w:val="en-GB"/>
        </w:rPr>
        <w:t>Über</w:t>
      </w:r>
      <w:proofErr w:type="spellEnd"/>
      <w:r w:rsidRPr="006E1CBC">
        <w:rPr>
          <w:b/>
          <w:lang w:val="en-GB"/>
        </w:rPr>
        <w:t xml:space="preserve"> die TGW Logistics Group:</w:t>
      </w:r>
    </w:p>
    <w:p w14:paraId="5DC9D3A3" w14:textId="77777777"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22C90642" w14:textId="77777777" w:rsidR="00ED3142" w:rsidRDefault="00ED3142" w:rsidP="007B5207">
      <w:pPr>
        <w:spacing w:before="240" w:after="120"/>
        <w:ind w:right="1837"/>
      </w:pPr>
      <w:r>
        <w:lastRenderedPageBreak/>
        <w:t>Mit rund 2.</w:t>
      </w:r>
      <w:r w:rsidR="0054183C">
        <w:t>6</w:t>
      </w:r>
      <w:r>
        <w:t>00 Mitarbeitern weltweit realisiert die Gruppe Logistiklösungen für führende Unternehmen in verschiedensten Branchen. Dadurch erzielte die TGW Logistics Group im Wirtschaftsjahr 201</w:t>
      </w:r>
      <w:r w:rsidR="0054183C">
        <w:t>5</w:t>
      </w:r>
      <w:r>
        <w:t>/1</w:t>
      </w:r>
      <w:r w:rsidR="0054183C">
        <w:t>6</w:t>
      </w:r>
      <w:r>
        <w:t xml:space="preserve"> Umsatzerlöse von </w:t>
      </w:r>
      <w:r w:rsidR="0054183C">
        <w:t>532</w:t>
      </w:r>
      <w:r>
        <w:t xml:space="preserve"> Mio.</w:t>
      </w:r>
      <w:r w:rsidR="00102B91" w:rsidRPr="00102B91">
        <w:t xml:space="preserve"> </w:t>
      </w:r>
      <w:r w:rsidR="00102B91">
        <w:t>€.</w:t>
      </w:r>
    </w:p>
    <w:p w14:paraId="02A1668E" w14:textId="77777777" w:rsidR="00ED3142" w:rsidRPr="00ED3142" w:rsidRDefault="00ED3142" w:rsidP="007B5207">
      <w:pPr>
        <w:spacing w:before="240" w:after="120"/>
        <w:ind w:right="1837"/>
        <w:rPr>
          <w:b/>
        </w:rPr>
      </w:pPr>
      <w:r w:rsidRPr="00ED3142">
        <w:rPr>
          <w:b/>
        </w:rPr>
        <w:t>Bilder:</w:t>
      </w:r>
    </w:p>
    <w:p w14:paraId="04E8035F" w14:textId="77777777" w:rsidR="00ED3142" w:rsidRDefault="00ED3142" w:rsidP="007B5207">
      <w:pPr>
        <w:spacing w:before="240" w:after="120"/>
        <w:ind w:right="1837"/>
      </w:pPr>
      <w:r>
        <w:t>Abdruck mit Quellangabe und zu Presseberichten, die sich vorwiegend mit der TGW Logistics Group GmbH befassen, honorarfrei. Kein honorarfreier Abdruck für werbliche Zwecke.</w:t>
      </w:r>
    </w:p>
    <w:p w14:paraId="53D60651" w14:textId="77777777" w:rsidR="00FE2E8B" w:rsidRDefault="00FE2E8B" w:rsidP="007B5207">
      <w:pPr>
        <w:spacing w:before="240" w:after="120"/>
        <w:ind w:right="1837"/>
      </w:pPr>
    </w:p>
    <w:p w14:paraId="54BD21BD" w14:textId="77777777" w:rsidR="00ED3142" w:rsidRPr="007974D4" w:rsidRDefault="00ED3142" w:rsidP="0054183C">
      <w:pPr>
        <w:tabs>
          <w:tab w:val="left" w:pos="7938"/>
        </w:tabs>
        <w:spacing w:line="240" w:lineRule="auto"/>
        <w:ind w:right="1837"/>
        <w:rPr>
          <w:b/>
          <w:lang w:val="de-AT"/>
        </w:rPr>
      </w:pPr>
      <w:r w:rsidRPr="007974D4">
        <w:rPr>
          <w:b/>
          <w:lang w:val="de-AT"/>
        </w:rPr>
        <w:t>Kontakt:</w:t>
      </w:r>
    </w:p>
    <w:p w14:paraId="76C435C9" w14:textId="77777777" w:rsidR="00ED3142" w:rsidRPr="007974D4" w:rsidRDefault="00ED3142" w:rsidP="0054183C">
      <w:pPr>
        <w:tabs>
          <w:tab w:val="left" w:pos="7938"/>
        </w:tabs>
        <w:spacing w:line="240" w:lineRule="auto"/>
        <w:ind w:right="1837"/>
        <w:rPr>
          <w:lang w:val="de-AT"/>
        </w:rPr>
      </w:pPr>
      <w:r w:rsidRPr="007974D4">
        <w:rPr>
          <w:lang w:val="de-AT"/>
        </w:rPr>
        <w:t>TGW Logistics Group GmbH</w:t>
      </w:r>
    </w:p>
    <w:p w14:paraId="60504FF6" w14:textId="77777777" w:rsidR="00ED3142" w:rsidRPr="007974D4" w:rsidRDefault="00ED3142" w:rsidP="0054183C">
      <w:pPr>
        <w:tabs>
          <w:tab w:val="left" w:pos="7938"/>
        </w:tabs>
        <w:spacing w:line="240" w:lineRule="auto"/>
        <w:ind w:right="1837"/>
        <w:rPr>
          <w:lang w:val="de-AT"/>
        </w:rPr>
      </w:pPr>
      <w:r w:rsidRPr="007974D4">
        <w:rPr>
          <w:lang w:val="de-AT"/>
        </w:rPr>
        <w:t xml:space="preserve">A-4600 Wels, </w:t>
      </w:r>
      <w:proofErr w:type="spellStart"/>
      <w:r w:rsidRPr="007974D4">
        <w:rPr>
          <w:lang w:val="de-AT"/>
        </w:rPr>
        <w:t>Collmannstraße</w:t>
      </w:r>
      <w:proofErr w:type="spellEnd"/>
      <w:r w:rsidRPr="007974D4">
        <w:rPr>
          <w:lang w:val="de-AT"/>
        </w:rPr>
        <w:t xml:space="preserve"> 2</w:t>
      </w:r>
    </w:p>
    <w:p w14:paraId="04187899" w14:textId="77777777" w:rsidR="00ED3142" w:rsidRPr="007974D4" w:rsidRDefault="00ED3142" w:rsidP="0054183C">
      <w:pPr>
        <w:tabs>
          <w:tab w:val="left" w:pos="7938"/>
        </w:tabs>
        <w:spacing w:line="240" w:lineRule="auto"/>
        <w:ind w:right="1837"/>
        <w:rPr>
          <w:lang w:val="de-AT"/>
        </w:rPr>
      </w:pPr>
      <w:r w:rsidRPr="007974D4">
        <w:rPr>
          <w:lang w:val="de-AT"/>
        </w:rPr>
        <w:t>T: +43.(0)7242.486-0</w:t>
      </w:r>
    </w:p>
    <w:p w14:paraId="39D72C19" w14:textId="77777777" w:rsidR="00ED3142" w:rsidRPr="007974D4" w:rsidRDefault="00ED3142" w:rsidP="0054183C">
      <w:pPr>
        <w:tabs>
          <w:tab w:val="left" w:pos="7938"/>
        </w:tabs>
        <w:spacing w:line="240" w:lineRule="auto"/>
        <w:ind w:right="1837"/>
        <w:rPr>
          <w:lang w:val="de-AT"/>
        </w:rPr>
      </w:pPr>
      <w:r w:rsidRPr="007974D4">
        <w:rPr>
          <w:lang w:val="de-AT"/>
        </w:rPr>
        <w:t>F: +43.(0)7242.486-31</w:t>
      </w:r>
    </w:p>
    <w:p w14:paraId="0EC37C7F" w14:textId="77777777" w:rsidR="00ED3142" w:rsidRPr="007974D4" w:rsidRDefault="00ED3142" w:rsidP="0054183C">
      <w:pPr>
        <w:tabs>
          <w:tab w:val="left" w:pos="7938"/>
        </w:tabs>
        <w:spacing w:line="240" w:lineRule="auto"/>
        <w:ind w:right="1837"/>
        <w:rPr>
          <w:lang w:val="de-AT"/>
        </w:rPr>
      </w:pPr>
      <w:r w:rsidRPr="007974D4">
        <w:rPr>
          <w:lang w:val="de-AT"/>
        </w:rPr>
        <w:t>E-Mail: tgw@tgw-group.com</w:t>
      </w:r>
      <w:r w:rsidRPr="007974D4">
        <w:rPr>
          <w:lang w:val="de-AT"/>
        </w:rPr>
        <w:tab/>
      </w:r>
    </w:p>
    <w:p w14:paraId="7C8BDD90" w14:textId="77777777" w:rsidR="00ED3142" w:rsidRPr="007974D4" w:rsidRDefault="00ED3142" w:rsidP="0054183C">
      <w:pPr>
        <w:tabs>
          <w:tab w:val="left" w:pos="7938"/>
        </w:tabs>
        <w:spacing w:line="240" w:lineRule="auto"/>
        <w:ind w:right="1837"/>
        <w:rPr>
          <w:lang w:val="de-AT"/>
        </w:rPr>
      </w:pPr>
    </w:p>
    <w:p w14:paraId="1CBFDDD1" w14:textId="77777777" w:rsidR="00ED3142" w:rsidRPr="007974D4" w:rsidRDefault="00ED3142" w:rsidP="0054183C">
      <w:pPr>
        <w:spacing w:line="240" w:lineRule="auto"/>
        <w:ind w:right="985"/>
        <w:rPr>
          <w:b/>
          <w:lang w:val="de-AT"/>
        </w:rPr>
      </w:pPr>
      <w:r w:rsidRPr="007974D4">
        <w:rPr>
          <w:b/>
          <w:lang w:val="de-AT"/>
        </w:rPr>
        <w:t>Pressekontakt:</w:t>
      </w:r>
    </w:p>
    <w:p w14:paraId="07AD6230" w14:textId="77777777" w:rsidR="00ED3142" w:rsidRPr="007974D4" w:rsidRDefault="0054183C" w:rsidP="0054183C">
      <w:pPr>
        <w:spacing w:line="240" w:lineRule="auto"/>
        <w:ind w:right="985"/>
        <w:rPr>
          <w:lang w:val="de-AT"/>
        </w:rPr>
      </w:pPr>
      <w:r w:rsidRPr="007974D4">
        <w:rPr>
          <w:lang w:val="de-AT"/>
        </w:rPr>
        <w:t>Martin Kirchmayr</w:t>
      </w:r>
      <w:r w:rsidRPr="007974D4">
        <w:rPr>
          <w:lang w:val="de-AT"/>
        </w:rPr>
        <w:tab/>
      </w:r>
      <w:r w:rsidRPr="007974D4">
        <w:rPr>
          <w:lang w:val="de-AT"/>
        </w:rPr>
        <w:tab/>
      </w:r>
      <w:r w:rsidRPr="007974D4">
        <w:rPr>
          <w:lang w:val="de-AT"/>
        </w:rPr>
        <w:tab/>
      </w:r>
      <w:r w:rsidRPr="007974D4">
        <w:rPr>
          <w:lang w:val="de-AT"/>
        </w:rPr>
        <w:tab/>
      </w:r>
      <w:r w:rsidR="00ED3142" w:rsidRPr="007974D4">
        <w:rPr>
          <w:lang w:val="de-AT"/>
        </w:rPr>
        <w:t>Daniela Nowak</w:t>
      </w:r>
    </w:p>
    <w:p w14:paraId="219C74F3" w14:textId="77777777" w:rsidR="00ED3142" w:rsidRPr="006E1CBC" w:rsidRDefault="00ED3142" w:rsidP="0054183C">
      <w:pPr>
        <w:spacing w:line="240" w:lineRule="auto"/>
        <w:ind w:right="985"/>
        <w:rPr>
          <w:lang w:val="de-AT"/>
        </w:rPr>
      </w:pPr>
      <w:r w:rsidRPr="006E1CBC">
        <w:rPr>
          <w:lang w:val="de-AT"/>
        </w:rPr>
        <w:t>Marketing &amp; Communication Manager</w:t>
      </w:r>
      <w:r w:rsidR="0054183C" w:rsidRPr="006E1CBC">
        <w:rPr>
          <w:lang w:val="de-AT"/>
        </w:rPr>
        <w:tab/>
      </w:r>
      <w:r w:rsidR="0054183C" w:rsidRPr="006E1CBC">
        <w:rPr>
          <w:lang w:val="de-AT"/>
        </w:rPr>
        <w:tab/>
      </w:r>
      <w:r w:rsidRPr="006E1CBC">
        <w:rPr>
          <w:lang w:val="de-AT"/>
        </w:rPr>
        <w:t xml:space="preserve">Marketing &amp; Communication </w:t>
      </w:r>
      <w:proofErr w:type="spellStart"/>
      <w:r w:rsidRPr="006E1CBC">
        <w:rPr>
          <w:lang w:val="de-AT"/>
        </w:rPr>
        <w:t>Specialist</w:t>
      </w:r>
      <w:proofErr w:type="spellEnd"/>
    </w:p>
    <w:p w14:paraId="0A3F59E2" w14:textId="77777777" w:rsidR="00ED3142" w:rsidRPr="006E1CBC" w:rsidRDefault="00ED3142" w:rsidP="0054183C">
      <w:pPr>
        <w:spacing w:line="240" w:lineRule="auto"/>
        <w:ind w:right="985"/>
        <w:rPr>
          <w:lang w:val="de-AT"/>
        </w:rPr>
      </w:pPr>
      <w:r w:rsidRPr="006E1CBC">
        <w:rPr>
          <w:lang w:val="de-AT"/>
        </w:rPr>
        <w:t>T: +43.(0)7242.486-1382</w:t>
      </w:r>
      <w:r w:rsidRPr="006E1CBC">
        <w:rPr>
          <w:lang w:val="de-AT"/>
        </w:rPr>
        <w:tab/>
      </w:r>
      <w:r w:rsidRPr="006E1CBC">
        <w:rPr>
          <w:lang w:val="de-AT"/>
        </w:rPr>
        <w:tab/>
      </w:r>
      <w:r w:rsidRPr="006E1CBC">
        <w:rPr>
          <w:lang w:val="de-AT"/>
        </w:rPr>
        <w:tab/>
        <w:t>T: +43.(0)7242.486-1059</w:t>
      </w:r>
    </w:p>
    <w:p w14:paraId="3B67F125" w14:textId="77777777" w:rsidR="00ED3142" w:rsidRPr="006E1CBC" w:rsidRDefault="00ED3142" w:rsidP="0054183C">
      <w:pPr>
        <w:spacing w:line="240" w:lineRule="auto"/>
        <w:ind w:right="985"/>
        <w:rPr>
          <w:lang w:val="de-AT"/>
        </w:rPr>
      </w:pPr>
      <w:r w:rsidRPr="006E1CBC">
        <w:rPr>
          <w:lang w:val="de-AT"/>
        </w:rPr>
        <w:t>M: +43.(0)664.8187423</w:t>
      </w:r>
    </w:p>
    <w:p w14:paraId="1D9ADB34" w14:textId="77777777" w:rsidR="00ED3142" w:rsidRPr="006E1CBC" w:rsidRDefault="00ED3142" w:rsidP="0054183C">
      <w:pPr>
        <w:spacing w:line="240" w:lineRule="auto"/>
        <w:ind w:right="985"/>
        <w:rPr>
          <w:lang w:val="de-AT"/>
        </w:rPr>
      </w:pPr>
      <w:r w:rsidRPr="006E1CBC">
        <w:rPr>
          <w:lang w:val="de-AT"/>
        </w:rPr>
        <w:t>martin.kirchmayr@tgw-group.com</w:t>
      </w:r>
      <w:r w:rsidRPr="006E1CBC">
        <w:rPr>
          <w:lang w:val="de-AT"/>
        </w:rPr>
        <w:tab/>
      </w:r>
      <w:r w:rsidRPr="006E1CBC">
        <w:rPr>
          <w:lang w:val="de-AT"/>
        </w:rPr>
        <w:tab/>
        <w:t>daniela.nowak@tgw-group.com</w:t>
      </w:r>
    </w:p>
    <w:p w14:paraId="58D82DA9" w14:textId="77777777" w:rsidR="00FE44DF" w:rsidRPr="006E1CBC" w:rsidRDefault="00FE44DF" w:rsidP="0054183C">
      <w:pPr>
        <w:spacing w:line="240" w:lineRule="auto"/>
        <w:ind w:right="985"/>
        <w:rPr>
          <w:lang w:val="de-AT"/>
        </w:rPr>
      </w:pPr>
    </w:p>
    <w:p w14:paraId="78662E84" w14:textId="77777777" w:rsidR="006E1CBC" w:rsidRDefault="006E1CBC" w:rsidP="0054183C">
      <w:pPr>
        <w:spacing w:line="240" w:lineRule="auto"/>
        <w:ind w:right="985"/>
        <w:rPr>
          <w:lang w:val="de-AT"/>
        </w:rPr>
      </w:pPr>
    </w:p>
    <w:p w14:paraId="03137804" w14:textId="77777777" w:rsidR="006E1CBC" w:rsidRDefault="006E1CBC" w:rsidP="0054183C">
      <w:pPr>
        <w:spacing w:line="240" w:lineRule="auto"/>
        <w:ind w:right="985"/>
        <w:rPr>
          <w:lang w:val="de-AT"/>
        </w:rPr>
      </w:pPr>
    </w:p>
    <w:sectPr w:rsidR="006E1CBC"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48579" w14:textId="77777777" w:rsidR="00764006" w:rsidRDefault="00764006" w:rsidP="00764006">
      <w:pPr>
        <w:spacing w:line="240" w:lineRule="auto"/>
      </w:pPr>
      <w:r>
        <w:separator/>
      </w:r>
    </w:p>
  </w:endnote>
  <w:endnote w:type="continuationSeparator" w:id="0">
    <w:p w14:paraId="1FF9FDB7"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70C6FE9B" w14:textId="77777777" w:rsidTr="00C15D91">
      <w:tc>
        <w:tcPr>
          <w:tcW w:w="6474" w:type="dxa"/>
        </w:tcPr>
        <w:p w14:paraId="1B014AA4" w14:textId="77777777"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14:paraId="1B993CE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60C28D7C" w14:textId="77777777" w:rsidR="007D0E42" w:rsidRPr="00252CD7" w:rsidRDefault="007D0E42" w:rsidP="007D0E42">
          <w:pPr>
            <w:pStyle w:val="Fuzeile"/>
            <w:rPr>
              <w:sz w:val="16"/>
            </w:rPr>
          </w:pPr>
        </w:p>
      </w:tc>
      <w:tc>
        <w:tcPr>
          <w:tcW w:w="2438" w:type="dxa"/>
          <w:vAlign w:val="center"/>
        </w:tcPr>
        <w:p w14:paraId="22BABBE5" w14:textId="4BFF36F4"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62ECC">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A62ECC">
            <w:rPr>
              <w:noProof/>
              <w:sz w:val="16"/>
            </w:rPr>
            <w:t>3</w:t>
          </w:r>
          <w:r w:rsidR="00252CD7" w:rsidRPr="00252CD7">
            <w:rPr>
              <w:noProof/>
              <w:sz w:val="16"/>
            </w:rPr>
            <w:fldChar w:fldCharType="end"/>
          </w:r>
        </w:p>
      </w:tc>
    </w:tr>
  </w:tbl>
  <w:p w14:paraId="1D2265EA"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A2BD8" w14:textId="77777777" w:rsidR="00764006" w:rsidRDefault="00764006" w:rsidP="00764006">
      <w:pPr>
        <w:spacing w:line="240" w:lineRule="auto"/>
      </w:pPr>
      <w:r>
        <w:separator/>
      </w:r>
    </w:p>
  </w:footnote>
  <w:footnote w:type="continuationSeparator" w:id="0">
    <w:p w14:paraId="728B9AF6"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1ED4" w14:textId="77777777" w:rsidR="003A2448" w:rsidRDefault="003A2448" w:rsidP="00764006">
    <w:pPr>
      <w:pStyle w:val="Kopfzeile"/>
      <w:jc w:val="right"/>
    </w:pPr>
    <w:r>
      <w:br/>
    </w:r>
  </w:p>
  <w:p w14:paraId="4F378B26" w14:textId="77777777"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5965DE2D" wp14:editId="340946A8">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3946144"/>
    <w:multiLevelType w:val="hybridMultilevel"/>
    <w:tmpl w:val="04A23062"/>
    <w:lvl w:ilvl="0" w:tplc="0250104E">
      <w:numFmt w:val="bullet"/>
      <w:lvlText w:val="-"/>
      <w:lvlJc w:val="left"/>
      <w:pPr>
        <w:ind w:left="720" w:hanging="360"/>
      </w:pPr>
      <w:rPr>
        <w:rFonts w:ascii="Arial" w:eastAsiaTheme="minorEastAsia"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D7B22AF"/>
    <w:multiLevelType w:val="multilevel"/>
    <w:tmpl w:val="7D1030F0"/>
    <w:lvl w:ilvl="0">
      <w:start w:val="1"/>
      <w:numFmt w:val="decimal"/>
      <w:pStyle w:val="berschrift1"/>
      <w:lvlText w:val="%1."/>
      <w:lvlJc w:val="left"/>
      <w:pPr>
        <w:ind w:left="360" w:hanging="360"/>
      </w:pPr>
    </w:lvl>
    <w:lvl w:ilvl="1">
      <w:start w:val="1"/>
      <w:numFmt w:val="decimal"/>
      <w:pStyle w:val="berschrift2"/>
      <w:lvlText w:val="%1.%2"/>
      <w:lvlJc w:val="left"/>
      <w:pPr>
        <w:ind w:left="7239" w:hanging="576"/>
      </w:pPr>
      <w:rPr>
        <w:strike w:val="0"/>
        <w:dstrike w:val="0"/>
      </w:rPr>
    </w:lvl>
    <w:lvl w:ilvl="2">
      <w:start w:val="1"/>
      <w:numFmt w:val="decimal"/>
      <w:pStyle w:val="berschrift3"/>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color w:val="auto"/>
      </w:r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3"/>
  </w:num>
  <w:num w:numId="4">
    <w:abstractNumId w:val="6"/>
  </w:num>
  <w:num w:numId="5">
    <w:abstractNumId w:val="2"/>
  </w:num>
  <w:num w:numId="6">
    <w:abstractNumId w:val="0"/>
  </w:num>
  <w:num w:numId="7">
    <w:abstractNumId w:val="4"/>
  </w:num>
  <w:num w:numId="8">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02B91"/>
    <w:rsid w:val="0017018E"/>
    <w:rsid w:val="00183096"/>
    <w:rsid w:val="00193DF6"/>
    <w:rsid w:val="001E7058"/>
    <w:rsid w:val="001F296C"/>
    <w:rsid w:val="00222B47"/>
    <w:rsid w:val="00252CD7"/>
    <w:rsid w:val="0026487A"/>
    <w:rsid w:val="00284CF4"/>
    <w:rsid w:val="00292EE3"/>
    <w:rsid w:val="003572A1"/>
    <w:rsid w:val="003A2448"/>
    <w:rsid w:val="003C63F2"/>
    <w:rsid w:val="00450B34"/>
    <w:rsid w:val="00470B0F"/>
    <w:rsid w:val="005278C0"/>
    <w:rsid w:val="0054183C"/>
    <w:rsid w:val="00594914"/>
    <w:rsid w:val="005C47E4"/>
    <w:rsid w:val="00607BCA"/>
    <w:rsid w:val="006118EE"/>
    <w:rsid w:val="006225BA"/>
    <w:rsid w:val="006D1B5B"/>
    <w:rsid w:val="006E1CBC"/>
    <w:rsid w:val="006F063B"/>
    <w:rsid w:val="007502BB"/>
    <w:rsid w:val="00764006"/>
    <w:rsid w:val="007974D4"/>
    <w:rsid w:val="007B5207"/>
    <w:rsid w:val="007D0E42"/>
    <w:rsid w:val="00865F37"/>
    <w:rsid w:val="008C62E5"/>
    <w:rsid w:val="00911110"/>
    <w:rsid w:val="00940362"/>
    <w:rsid w:val="00953D37"/>
    <w:rsid w:val="00954A62"/>
    <w:rsid w:val="00997510"/>
    <w:rsid w:val="009D5582"/>
    <w:rsid w:val="009F71BC"/>
    <w:rsid w:val="00A06F83"/>
    <w:rsid w:val="00A0769F"/>
    <w:rsid w:val="00A148C1"/>
    <w:rsid w:val="00A25CF4"/>
    <w:rsid w:val="00A52A37"/>
    <w:rsid w:val="00A62ECC"/>
    <w:rsid w:val="00A83E29"/>
    <w:rsid w:val="00AD3796"/>
    <w:rsid w:val="00B03B65"/>
    <w:rsid w:val="00B422A2"/>
    <w:rsid w:val="00B56A9C"/>
    <w:rsid w:val="00B57511"/>
    <w:rsid w:val="00B6039E"/>
    <w:rsid w:val="00BE04CA"/>
    <w:rsid w:val="00C00CC7"/>
    <w:rsid w:val="00C15D91"/>
    <w:rsid w:val="00C66CA2"/>
    <w:rsid w:val="00D90DAC"/>
    <w:rsid w:val="00DD2CF4"/>
    <w:rsid w:val="00DD417D"/>
    <w:rsid w:val="00E21CBA"/>
    <w:rsid w:val="00E21D57"/>
    <w:rsid w:val="00E5322C"/>
    <w:rsid w:val="00EA50A1"/>
    <w:rsid w:val="00ED3142"/>
    <w:rsid w:val="00F6247B"/>
    <w:rsid w:val="00F639AF"/>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qFormat/>
    <w:rsid w:val="001F296C"/>
    <w:pPr>
      <w:keepNext/>
      <w:keepLines/>
      <w:pageBreakBefore/>
      <w:numPr>
        <w:numId w:val="7"/>
      </w:numPr>
      <w:spacing w:before="320" w:after="320" w:line="240" w:lineRule="auto"/>
      <w:jc w:val="both"/>
      <w:outlineLvl w:val="0"/>
    </w:pPr>
    <w:rPr>
      <w:rFonts w:eastAsiaTheme="majorEastAsia" w:cstheme="majorBidi"/>
      <w:b/>
      <w:color w:val="000000" w:themeColor="text1"/>
      <w:sz w:val="32"/>
      <w:szCs w:val="32"/>
      <w:lang w:val="de-AT" w:eastAsia="zh-CN"/>
    </w:rPr>
  </w:style>
  <w:style w:type="paragraph" w:styleId="berschrift2">
    <w:name w:val="heading 2"/>
    <w:basedOn w:val="Standard"/>
    <w:next w:val="Standard"/>
    <w:link w:val="berschrift2Zchn"/>
    <w:uiPriority w:val="9"/>
    <w:unhideWhenUsed/>
    <w:qFormat/>
    <w:rsid w:val="001F296C"/>
    <w:pPr>
      <w:keepNext/>
      <w:keepLines/>
      <w:numPr>
        <w:ilvl w:val="1"/>
        <w:numId w:val="7"/>
      </w:numPr>
      <w:spacing w:before="280" w:after="280" w:line="240" w:lineRule="auto"/>
      <w:jc w:val="both"/>
      <w:outlineLvl w:val="1"/>
    </w:pPr>
    <w:rPr>
      <w:rFonts w:eastAsiaTheme="majorEastAsia" w:cstheme="majorBidi"/>
      <w:b/>
      <w:color w:val="000000" w:themeColor="text1"/>
      <w:sz w:val="28"/>
      <w:szCs w:val="26"/>
      <w:lang w:val="de-AT" w:eastAsia="zh-CN"/>
    </w:rPr>
  </w:style>
  <w:style w:type="paragraph" w:styleId="berschrift3">
    <w:name w:val="heading 3"/>
    <w:basedOn w:val="Standard"/>
    <w:next w:val="Standard"/>
    <w:link w:val="berschrift3Zchn"/>
    <w:unhideWhenUsed/>
    <w:qFormat/>
    <w:rsid w:val="001F296C"/>
    <w:pPr>
      <w:keepNext/>
      <w:keepLines/>
      <w:numPr>
        <w:ilvl w:val="2"/>
        <w:numId w:val="7"/>
      </w:numPr>
      <w:spacing w:before="240" w:after="240" w:line="240" w:lineRule="auto"/>
      <w:jc w:val="both"/>
      <w:outlineLvl w:val="2"/>
    </w:pPr>
    <w:rPr>
      <w:rFonts w:eastAsiaTheme="majorEastAsia" w:cstheme="majorBidi"/>
      <w:b/>
      <w:color w:val="000000" w:themeColor="text1"/>
      <w:sz w:val="24"/>
      <w:szCs w:val="24"/>
      <w:lang w:val="de-AT" w:eastAsia="zh-CN"/>
    </w:rPr>
  </w:style>
  <w:style w:type="paragraph" w:styleId="berschrift4">
    <w:name w:val="heading 4"/>
    <w:basedOn w:val="Standard"/>
    <w:next w:val="Standard"/>
    <w:link w:val="berschrift4Zchn"/>
    <w:unhideWhenUsed/>
    <w:qFormat/>
    <w:rsid w:val="001F296C"/>
    <w:pPr>
      <w:keepNext/>
      <w:keepLines/>
      <w:numPr>
        <w:ilvl w:val="3"/>
        <w:numId w:val="7"/>
      </w:numPr>
      <w:spacing w:before="200" w:after="200" w:line="240" w:lineRule="auto"/>
      <w:jc w:val="both"/>
      <w:outlineLvl w:val="3"/>
    </w:pPr>
    <w:rPr>
      <w:rFonts w:eastAsiaTheme="majorEastAsia" w:cstheme="majorBidi"/>
      <w:b/>
      <w:iCs/>
      <w:color w:val="000000" w:themeColor="text1"/>
      <w:lang w:val="de-AT" w:eastAsia="zh-CN"/>
    </w:rPr>
  </w:style>
  <w:style w:type="paragraph" w:styleId="berschrift6">
    <w:name w:val="heading 6"/>
    <w:basedOn w:val="Standard"/>
    <w:next w:val="Standard"/>
    <w:link w:val="berschrift6Zchn"/>
    <w:unhideWhenUsed/>
    <w:qFormat/>
    <w:rsid w:val="001F296C"/>
    <w:pPr>
      <w:keepNext/>
      <w:keepLines/>
      <w:numPr>
        <w:ilvl w:val="5"/>
        <w:numId w:val="7"/>
      </w:numPr>
      <w:spacing w:before="40" w:line="312" w:lineRule="auto"/>
      <w:jc w:val="both"/>
      <w:outlineLvl w:val="5"/>
    </w:pPr>
    <w:rPr>
      <w:rFonts w:asciiTheme="majorHAnsi" w:eastAsiaTheme="majorEastAsia" w:hAnsiTheme="majorHAnsi" w:cstheme="majorBidi"/>
      <w:color w:val="5F020C" w:themeColor="accent1" w:themeShade="7F"/>
      <w:lang w:val="de-AT" w:eastAsia="zh-CN"/>
    </w:rPr>
  </w:style>
  <w:style w:type="paragraph" w:styleId="berschrift7">
    <w:name w:val="heading 7"/>
    <w:basedOn w:val="Standard"/>
    <w:next w:val="Standard"/>
    <w:link w:val="berschrift7Zchn"/>
    <w:unhideWhenUsed/>
    <w:qFormat/>
    <w:rsid w:val="001F296C"/>
    <w:pPr>
      <w:keepNext/>
      <w:keepLines/>
      <w:numPr>
        <w:ilvl w:val="6"/>
        <w:numId w:val="7"/>
      </w:numPr>
      <w:spacing w:before="40" w:line="312" w:lineRule="auto"/>
      <w:jc w:val="both"/>
      <w:outlineLvl w:val="6"/>
    </w:pPr>
    <w:rPr>
      <w:rFonts w:asciiTheme="majorHAnsi" w:eastAsiaTheme="majorEastAsia" w:hAnsiTheme="majorHAnsi" w:cstheme="majorBidi"/>
      <w:i/>
      <w:iCs/>
      <w:color w:val="5F020C" w:themeColor="accent1" w:themeShade="7F"/>
      <w:lang w:val="de-AT" w:eastAsia="zh-CN"/>
    </w:rPr>
  </w:style>
  <w:style w:type="paragraph" w:styleId="berschrift8">
    <w:name w:val="heading 8"/>
    <w:basedOn w:val="Standard"/>
    <w:next w:val="Standard"/>
    <w:link w:val="berschrift8Zchn"/>
    <w:unhideWhenUsed/>
    <w:qFormat/>
    <w:rsid w:val="001F296C"/>
    <w:pPr>
      <w:keepNext/>
      <w:keepLines/>
      <w:numPr>
        <w:ilvl w:val="7"/>
        <w:numId w:val="7"/>
      </w:numPr>
      <w:spacing w:before="40" w:line="312" w:lineRule="auto"/>
      <w:jc w:val="both"/>
      <w:outlineLvl w:val="7"/>
    </w:pPr>
    <w:rPr>
      <w:rFonts w:asciiTheme="majorHAnsi" w:eastAsiaTheme="majorEastAsia" w:hAnsiTheme="majorHAnsi" w:cstheme="majorBidi"/>
      <w:color w:val="272727" w:themeColor="text1" w:themeTint="D8"/>
      <w:sz w:val="21"/>
      <w:szCs w:val="21"/>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594914"/>
    <w:rPr>
      <w:sz w:val="16"/>
      <w:szCs w:val="16"/>
    </w:rPr>
  </w:style>
  <w:style w:type="paragraph" w:styleId="Kommentartext">
    <w:name w:val="annotation text"/>
    <w:basedOn w:val="Standard"/>
    <w:link w:val="KommentartextZchn"/>
    <w:uiPriority w:val="99"/>
    <w:semiHidden/>
    <w:unhideWhenUsed/>
    <w:rsid w:val="00594914"/>
    <w:pPr>
      <w:spacing w:line="240" w:lineRule="auto"/>
    </w:pPr>
    <w:rPr>
      <w:szCs w:val="20"/>
    </w:rPr>
  </w:style>
  <w:style w:type="character" w:customStyle="1" w:styleId="KommentartextZchn">
    <w:name w:val="Kommentartext Zchn"/>
    <w:basedOn w:val="Absatz-Standardschriftart"/>
    <w:link w:val="Kommentartext"/>
    <w:uiPriority w:val="99"/>
    <w:semiHidden/>
    <w:rsid w:val="0059491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914"/>
    <w:rPr>
      <w:b/>
      <w:bCs/>
    </w:rPr>
  </w:style>
  <w:style w:type="character" w:customStyle="1" w:styleId="KommentarthemaZchn">
    <w:name w:val="Kommentarthema Zchn"/>
    <w:basedOn w:val="KommentartextZchn"/>
    <w:link w:val="Kommentarthema"/>
    <w:uiPriority w:val="99"/>
    <w:semiHidden/>
    <w:rsid w:val="00594914"/>
    <w:rPr>
      <w:rFonts w:ascii="Arial" w:hAnsi="Arial"/>
      <w:b/>
      <w:bCs/>
      <w:sz w:val="20"/>
      <w:szCs w:val="20"/>
    </w:rPr>
  </w:style>
  <w:style w:type="character" w:customStyle="1" w:styleId="berschrift1Zchn">
    <w:name w:val="Überschrift 1 Zchn"/>
    <w:basedOn w:val="Absatz-Standardschriftart"/>
    <w:link w:val="berschrift1"/>
    <w:rsid w:val="001F296C"/>
    <w:rPr>
      <w:rFonts w:ascii="Arial" w:eastAsiaTheme="majorEastAsia" w:hAnsi="Arial" w:cstheme="majorBidi"/>
      <w:b/>
      <w:color w:val="000000" w:themeColor="text1"/>
      <w:sz w:val="32"/>
      <w:szCs w:val="32"/>
      <w:lang w:val="de-AT" w:eastAsia="zh-CN"/>
    </w:rPr>
  </w:style>
  <w:style w:type="character" w:customStyle="1" w:styleId="berschrift2Zchn">
    <w:name w:val="Überschrift 2 Zchn"/>
    <w:basedOn w:val="Absatz-Standardschriftart"/>
    <w:link w:val="berschrift2"/>
    <w:uiPriority w:val="9"/>
    <w:rsid w:val="001F296C"/>
    <w:rPr>
      <w:rFonts w:ascii="Arial" w:eastAsiaTheme="majorEastAsia" w:hAnsi="Arial" w:cstheme="majorBidi"/>
      <w:b/>
      <w:color w:val="000000" w:themeColor="text1"/>
      <w:sz w:val="28"/>
      <w:szCs w:val="26"/>
      <w:lang w:val="de-AT" w:eastAsia="zh-CN"/>
    </w:rPr>
  </w:style>
  <w:style w:type="character" w:customStyle="1" w:styleId="berschrift3Zchn">
    <w:name w:val="Überschrift 3 Zchn"/>
    <w:basedOn w:val="Absatz-Standardschriftart"/>
    <w:link w:val="berschrift3"/>
    <w:rsid w:val="001F296C"/>
    <w:rPr>
      <w:rFonts w:ascii="Arial" w:eastAsiaTheme="majorEastAsia" w:hAnsi="Arial" w:cstheme="majorBidi"/>
      <w:b/>
      <w:color w:val="000000" w:themeColor="text1"/>
      <w:sz w:val="24"/>
      <w:szCs w:val="24"/>
      <w:lang w:val="de-AT" w:eastAsia="zh-CN"/>
    </w:rPr>
  </w:style>
  <w:style w:type="character" w:customStyle="1" w:styleId="berschrift4Zchn">
    <w:name w:val="Überschrift 4 Zchn"/>
    <w:basedOn w:val="Absatz-Standardschriftart"/>
    <w:link w:val="berschrift4"/>
    <w:rsid w:val="001F296C"/>
    <w:rPr>
      <w:rFonts w:ascii="Arial" w:eastAsiaTheme="majorEastAsia" w:hAnsi="Arial" w:cstheme="majorBidi"/>
      <w:b/>
      <w:iCs/>
      <w:color w:val="000000" w:themeColor="text1"/>
      <w:sz w:val="20"/>
      <w:lang w:val="de-AT" w:eastAsia="zh-CN"/>
    </w:rPr>
  </w:style>
  <w:style w:type="character" w:customStyle="1" w:styleId="berschrift6Zchn">
    <w:name w:val="Überschrift 6 Zchn"/>
    <w:basedOn w:val="Absatz-Standardschriftart"/>
    <w:link w:val="berschrift6"/>
    <w:rsid w:val="001F296C"/>
    <w:rPr>
      <w:rFonts w:asciiTheme="majorHAnsi" w:eastAsiaTheme="majorEastAsia" w:hAnsiTheme="majorHAnsi" w:cstheme="majorBidi"/>
      <w:color w:val="5F020C" w:themeColor="accent1" w:themeShade="7F"/>
      <w:sz w:val="20"/>
      <w:lang w:val="de-AT" w:eastAsia="zh-CN"/>
    </w:rPr>
  </w:style>
  <w:style w:type="character" w:customStyle="1" w:styleId="berschrift7Zchn">
    <w:name w:val="Überschrift 7 Zchn"/>
    <w:basedOn w:val="Absatz-Standardschriftart"/>
    <w:link w:val="berschrift7"/>
    <w:rsid w:val="001F296C"/>
    <w:rPr>
      <w:rFonts w:asciiTheme="majorHAnsi" w:eastAsiaTheme="majorEastAsia" w:hAnsiTheme="majorHAnsi" w:cstheme="majorBidi"/>
      <w:i/>
      <w:iCs/>
      <w:color w:val="5F020C" w:themeColor="accent1" w:themeShade="7F"/>
      <w:sz w:val="20"/>
      <w:lang w:val="de-AT" w:eastAsia="zh-CN"/>
    </w:rPr>
  </w:style>
  <w:style w:type="character" w:customStyle="1" w:styleId="berschrift8Zchn">
    <w:name w:val="Überschrift 8 Zchn"/>
    <w:basedOn w:val="Absatz-Standardschriftart"/>
    <w:link w:val="berschrift8"/>
    <w:rsid w:val="001F296C"/>
    <w:rPr>
      <w:rFonts w:asciiTheme="majorHAnsi" w:eastAsiaTheme="majorEastAsia" w:hAnsiTheme="majorHAnsi" w:cstheme="majorBidi"/>
      <w:color w:val="272727" w:themeColor="text1" w:themeTint="D8"/>
      <w:sz w:val="21"/>
      <w:szCs w:val="21"/>
      <w:lang w:val="de-AT"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qFormat/>
    <w:rsid w:val="001F296C"/>
    <w:pPr>
      <w:keepNext/>
      <w:keepLines/>
      <w:pageBreakBefore/>
      <w:numPr>
        <w:numId w:val="7"/>
      </w:numPr>
      <w:spacing w:before="320" w:after="320" w:line="240" w:lineRule="auto"/>
      <w:jc w:val="both"/>
      <w:outlineLvl w:val="0"/>
    </w:pPr>
    <w:rPr>
      <w:rFonts w:eastAsiaTheme="majorEastAsia" w:cstheme="majorBidi"/>
      <w:b/>
      <w:color w:val="000000" w:themeColor="text1"/>
      <w:sz w:val="32"/>
      <w:szCs w:val="32"/>
      <w:lang w:val="de-AT" w:eastAsia="zh-CN"/>
    </w:rPr>
  </w:style>
  <w:style w:type="paragraph" w:styleId="berschrift2">
    <w:name w:val="heading 2"/>
    <w:basedOn w:val="Standard"/>
    <w:next w:val="Standard"/>
    <w:link w:val="berschrift2Zchn"/>
    <w:uiPriority w:val="9"/>
    <w:unhideWhenUsed/>
    <w:qFormat/>
    <w:rsid w:val="001F296C"/>
    <w:pPr>
      <w:keepNext/>
      <w:keepLines/>
      <w:numPr>
        <w:ilvl w:val="1"/>
        <w:numId w:val="7"/>
      </w:numPr>
      <w:spacing w:before="280" w:after="280" w:line="240" w:lineRule="auto"/>
      <w:jc w:val="both"/>
      <w:outlineLvl w:val="1"/>
    </w:pPr>
    <w:rPr>
      <w:rFonts w:eastAsiaTheme="majorEastAsia" w:cstheme="majorBidi"/>
      <w:b/>
      <w:color w:val="000000" w:themeColor="text1"/>
      <w:sz w:val="28"/>
      <w:szCs w:val="26"/>
      <w:lang w:val="de-AT" w:eastAsia="zh-CN"/>
    </w:rPr>
  </w:style>
  <w:style w:type="paragraph" w:styleId="berschrift3">
    <w:name w:val="heading 3"/>
    <w:basedOn w:val="Standard"/>
    <w:next w:val="Standard"/>
    <w:link w:val="berschrift3Zchn"/>
    <w:unhideWhenUsed/>
    <w:qFormat/>
    <w:rsid w:val="001F296C"/>
    <w:pPr>
      <w:keepNext/>
      <w:keepLines/>
      <w:numPr>
        <w:ilvl w:val="2"/>
        <w:numId w:val="7"/>
      </w:numPr>
      <w:spacing w:before="240" w:after="240" w:line="240" w:lineRule="auto"/>
      <w:jc w:val="both"/>
      <w:outlineLvl w:val="2"/>
    </w:pPr>
    <w:rPr>
      <w:rFonts w:eastAsiaTheme="majorEastAsia" w:cstheme="majorBidi"/>
      <w:b/>
      <w:color w:val="000000" w:themeColor="text1"/>
      <w:sz w:val="24"/>
      <w:szCs w:val="24"/>
      <w:lang w:val="de-AT" w:eastAsia="zh-CN"/>
    </w:rPr>
  </w:style>
  <w:style w:type="paragraph" w:styleId="berschrift4">
    <w:name w:val="heading 4"/>
    <w:basedOn w:val="Standard"/>
    <w:next w:val="Standard"/>
    <w:link w:val="berschrift4Zchn"/>
    <w:unhideWhenUsed/>
    <w:qFormat/>
    <w:rsid w:val="001F296C"/>
    <w:pPr>
      <w:keepNext/>
      <w:keepLines/>
      <w:numPr>
        <w:ilvl w:val="3"/>
        <w:numId w:val="7"/>
      </w:numPr>
      <w:spacing w:before="200" w:after="200" w:line="240" w:lineRule="auto"/>
      <w:jc w:val="both"/>
      <w:outlineLvl w:val="3"/>
    </w:pPr>
    <w:rPr>
      <w:rFonts w:eastAsiaTheme="majorEastAsia" w:cstheme="majorBidi"/>
      <w:b/>
      <w:iCs/>
      <w:color w:val="000000" w:themeColor="text1"/>
      <w:lang w:val="de-AT" w:eastAsia="zh-CN"/>
    </w:rPr>
  </w:style>
  <w:style w:type="paragraph" w:styleId="berschrift6">
    <w:name w:val="heading 6"/>
    <w:basedOn w:val="Standard"/>
    <w:next w:val="Standard"/>
    <w:link w:val="berschrift6Zchn"/>
    <w:unhideWhenUsed/>
    <w:qFormat/>
    <w:rsid w:val="001F296C"/>
    <w:pPr>
      <w:keepNext/>
      <w:keepLines/>
      <w:numPr>
        <w:ilvl w:val="5"/>
        <w:numId w:val="7"/>
      </w:numPr>
      <w:spacing w:before="40" w:line="312" w:lineRule="auto"/>
      <w:jc w:val="both"/>
      <w:outlineLvl w:val="5"/>
    </w:pPr>
    <w:rPr>
      <w:rFonts w:asciiTheme="majorHAnsi" w:eastAsiaTheme="majorEastAsia" w:hAnsiTheme="majorHAnsi" w:cstheme="majorBidi"/>
      <w:color w:val="5F020C" w:themeColor="accent1" w:themeShade="7F"/>
      <w:lang w:val="de-AT" w:eastAsia="zh-CN"/>
    </w:rPr>
  </w:style>
  <w:style w:type="paragraph" w:styleId="berschrift7">
    <w:name w:val="heading 7"/>
    <w:basedOn w:val="Standard"/>
    <w:next w:val="Standard"/>
    <w:link w:val="berschrift7Zchn"/>
    <w:unhideWhenUsed/>
    <w:qFormat/>
    <w:rsid w:val="001F296C"/>
    <w:pPr>
      <w:keepNext/>
      <w:keepLines/>
      <w:numPr>
        <w:ilvl w:val="6"/>
        <w:numId w:val="7"/>
      </w:numPr>
      <w:spacing w:before="40" w:line="312" w:lineRule="auto"/>
      <w:jc w:val="both"/>
      <w:outlineLvl w:val="6"/>
    </w:pPr>
    <w:rPr>
      <w:rFonts w:asciiTheme="majorHAnsi" w:eastAsiaTheme="majorEastAsia" w:hAnsiTheme="majorHAnsi" w:cstheme="majorBidi"/>
      <w:i/>
      <w:iCs/>
      <w:color w:val="5F020C" w:themeColor="accent1" w:themeShade="7F"/>
      <w:lang w:val="de-AT" w:eastAsia="zh-CN"/>
    </w:rPr>
  </w:style>
  <w:style w:type="paragraph" w:styleId="berschrift8">
    <w:name w:val="heading 8"/>
    <w:basedOn w:val="Standard"/>
    <w:next w:val="Standard"/>
    <w:link w:val="berschrift8Zchn"/>
    <w:unhideWhenUsed/>
    <w:qFormat/>
    <w:rsid w:val="001F296C"/>
    <w:pPr>
      <w:keepNext/>
      <w:keepLines/>
      <w:numPr>
        <w:ilvl w:val="7"/>
        <w:numId w:val="7"/>
      </w:numPr>
      <w:spacing w:before="40" w:line="312" w:lineRule="auto"/>
      <w:jc w:val="both"/>
      <w:outlineLvl w:val="7"/>
    </w:pPr>
    <w:rPr>
      <w:rFonts w:asciiTheme="majorHAnsi" w:eastAsiaTheme="majorEastAsia" w:hAnsiTheme="majorHAnsi" w:cstheme="majorBidi"/>
      <w:color w:val="272727" w:themeColor="text1" w:themeTint="D8"/>
      <w:sz w:val="21"/>
      <w:szCs w:val="21"/>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594914"/>
    <w:rPr>
      <w:sz w:val="16"/>
      <w:szCs w:val="16"/>
    </w:rPr>
  </w:style>
  <w:style w:type="paragraph" w:styleId="Kommentartext">
    <w:name w:val="annotation text"/>
    <w:basedOn w:val="Standard"/>
    <w:link w:val="KommentartextZchn"/>
    <w:uiPriority w:val="99"/>
    <w:semiHidden/>
    <w:unhideWhenUsed/>
    <w:rsid w:val="00594914"/>
    <w:pPr>
      <w:spacing w:line="240" w:lineRule="auto"/>
    </w:pPr>
    <w:rPr>
      <w:szCs w:val="20"/>
    </w:rPr>
  </w:style>
  <w:style w:type="character" w:customStyle="1" w:styleId="KommentartextZchn">
    <w:name w:val="Kommentartext Zchn"/>
    <w:basedOn w:val="Absatz-Standardschriftart"/>
    <w:link w:val="Kommentartext"/>
    <w:uiPriority w:val="99"/>
    <w:semiHidden/>
    <w:rsid w:val="0059491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914"/>
    <w:rPr>
      <w:b/>
      <w:bCs/>
    </w:rPr>
  </w:style>
  <w:style w:type="character" w:customStyle="1" w:styleId="KommentarthemaZchn">
    <w:name w:val="Kommentarthema Zchn"/>
    <w:basedOn w:val="KommentartextZchn"/>
    <w:link w:val="Kommentarthema"/>
    <w:uiPriority w:val="99"/>
    <w:semiHidden/>
    <w:rsid w:val="00594914"/>
    <w:rPr>
      <w:rFonts w:ascii="Arial" w:hAnsi="Arial"/>
      <w:b/>
      <w:bCs/>
      <w:sz w:val="20"/>
      <w:szCs w:val="20"/>
    </w:rPr>
  </w:style>
  <w:style w:type="character" w:customStyle="1" w:styleId="berschrift1Zchn">
    <w:name w:val="Überschrift 1 Zchn"/>
    <w:basedOn w:val="Absatz-Standardschriftart"/>
    <w:link w:val="berschrift1"/>
    <w:rsid w:val="001F296C"/>
    <w:rPr>
      <w:rFonts w:ascii="Arial" w:eastAsiaTheme="majorEastAsia" w:hAnsi="Arial" w:cstheme="majorBidi"/>
      <w:b/>
      <w:color w:val="000000" w:themeColor="text1"/>
      <w:sz w:val="32"/>
      <w:szCs w:val="32"/>
      <w:lang w:val="de-AT" w:eastAsia="zh-CN"/>
    </w:rPr>
  </w:style>
  <w:style w:type="character" w:customStyle="1" w:styleId="berschrift2Zchn">
    <w:name w:val="Überschrift 2 Zchn"/>
    <w:basedOn w:val="Absatz-Standardschriftart"/>
    <w:link w:val="berschrift2"/>
    <w:uiPriority w:val="9"/>
    <w:rsid w:val="001F296C"/>
    <w:rPr>
      <w:rFonts w:ascii="Arial" w:eastAsiaTheme="majorEastAsia" w:hAnsi="Arial" w:cstheme="majorBidi"/>
      <w:b/>
      <w:color w:val="000000" w:themeColor="text1"/>
      <w:sz w:val="28"/>
      <w:szCs w:val="26"/>
      <w:lang w:val="de-AT" w:eastAsia="zh-CN"/>
    </w:rPr>
  </w:style>
  <w:style w:type="character" w:customStyle="1" w:styleId="berschrift3Zchn">
    <w:name w:val="Überschrift 3 Zchn"/>
    <w:basedOn w:val="Absatz-Standardschriftart"/>
    <w:link w:val="berschrift3"/>
    <w:rsid w:val="001F296C"/>
    <w:rPr>
      <w:rFonts w:ascii="Arial" w:eastAsiaTheme="majorEastAsia" w:hAnsi="Arial" w:cstheme="majorBidi"/>
      <w:b/>
      <w:color w:val="000000" w:themeColor="text1"/>
      <w:sz w:val="24"/>
      <w:szCs w:val="24"/>
      <w:lang w:val="de-AT" w:eastAsia="zh-CN"/>
    </w:rPr>
  </w:style>
  <w:style w:type="character" w:customStyle="1" w:styleId="berschrift4Zchn">
    <w:name w:val="Überschrift 4 Zchn"/>
    <w:basedOn w:val="Absatz-Standardschriftart"/>
    <w:link w:val="berschrift4"/>
    <w:rsid w:val="001F296C"/>
    <w:rPr>
      <w:rFonts w:ascii="Arial" w:eastAsiaTheme="majorEastAsia" w:hAnsi="Arial" w:cstheme="majorBidi"/>
      <w:b/>
      <w:iCs/>
      <w:color w:val="000000" w:themeColor="text1"/>
      <w:sz w:val="20"/>
      <w:lang w:val="de-AT" w:eastAsia="zh-CN"/>
    </w:rPr>
  </w:style>
  <w:style w:type="character" w:customStyle="1" w:styleId="berschrift6Zchn">
    <w:name w:val="Überschrift 6 Zchn"/>
    <w:basedOn w:val="Absatz-Standardschriftart"/>
    <w:link w:val="berschrift6"/>
    <w:rsid w:val="001F296C"/>
    <w:rPr>
      <w:rFonts w:asciiTheme="majorHAnsi" w:eastAsiaTheme="majorEastAsia" w:hAnsiTheme="majorHAnsi" w:cstheme="majorBidi"/>
      <w:color w:val="5F020C" w:themeColor="accent1" w:themeShade="7F"/>
      <w:sz w:val="20"/>
      <w:lang w:val="de-AT" w:eastAsia="zh-CN"/>
    </w:rPr>
  </w:style>
  <w:style w:type="character" w:customStyle="1" w:styleId="berschrift7Zchn">
    <w:name w:val="Überschrift 7 Zchn"/>
    <w:basedOn w:val="Absatz-Standardschriftart"/>
    <w:link w:val="berschrift7"/>
    <w:rsid w:val="001F296C"/>
    <w:rPr>
      <w:rFonts w:asciiTheme="majorHAnsi" w:eastAsiaTheme="majorEastAsia" w:hAnsiTheme="majorHAnsi" w:cstheme="majorBidi"/>
      <w:i/>
      <w:iCs/>
      <w:color w:val="5F020C" w:themeColor="accent1" w:themeShade="7F"/>
      <w:sz w:val="20"/>
      <w:lang w:val="de-AT" w:eastAsia="zh-CN"/>
    </w:rPr>
  </w:style>
  <w:style w:type="character" w:customStyle="1" w:styleId="berschrift8Zchn">
    <w:name w:val="Überschrift 8 Zchn"/>
    <w:basedOn w:val="Absatz-Standardschriftart"/>
    <w:link w:val="berschrift8"/>
    <w:rsid w:val="001F296C"/>
    <w:rPr>
      <w:rFonts w:asciiTheme="majorHAnsi" w:eastAsiaTheme="majorEastAsia" w:hAnsiTheme="majorHAnsi" w:cstheme="majorBidi"/>
      <w:color w:val="272727" w:themeColor="text1" w:themeTint="D8"/>
      <w:sz w:val="21"/>
      <w:szCs w:val="21"/>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2015-06-02T08:02:00Z</cp:lastPrinted>
  <dcterms:created xsi:type="dcterms:W3CDTF">2016-12-05T12:37:00Z</dcterms:created>
  <dcterms:modified xsi:type="dcterms:W3CDTF">2017-01-13T07:36:00Z</dcterms:modified>
</cp:coreProperties>
</file>